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95D10" w14:textId="77777777" w:rsidR="00475A5F" w:rsidRPr="00475A5F" w:rsidRDefault="00475A5F" w:rsidP="00475A5F">
      <w:pPr>
        <w:pStyle w:val="Bezproreda"/>
        <w:spacing w:line="360" w:lineRule="auto"/>
        <w:rPr>
          <w:rStyle w:val="Naglaeno"/>
          <w:rFonts w:ascii="Times New Roman" w:hAnsi="Times New Roman"/>
          <w:b w:val="0"/>
          <w:bCs w:val="0"/>
          <w:sz w:val="24"/>
          <w:szCs w:val="24"/>
        </w:rPr>
      </w:pPr>
      <w:r w:rsidRPr="00475A5F">
        <w:rPr>
          <w:rStyle w:val="Naglaeno"/>
          <w:rFonts w:ascii="Times New Roman" w:hAnsi="Times New Roman"/>
          <w:b w:val="0"/>
          <w:bCs w:val="0"/>
          <w:sz w:val="24"/>
          <w:szCs w:val="24"/>
        </w:rPr>
        <w:t>Naziv obveznika: CENTAR ZA KULTURU ČAZMA</w:t>
      </w:r>
    </w:p>
    <w:p w14:paraId="6163EC2D" w14:textId="5263FAB6" w:rsidR="00475A5F" w:rsidRPr="00475A5F" w:rsidRDefault="00475A5F" w:rsidP="00475A5F">
      <w:pPr>
        <w:pStyle w:val="Bezproreda"/>
        <w:spacing w:line="360" w:lineRule="auto"/>
        <w:rPr>
          <w:rStyle w:val="Naglaeno"/>
          <w:rFonts w:ascii="Times New Roman" w:hAnsi="Times New Roman"/>
          <w:b w:val="0"/>
          <w:bCs w:val="0"/>
          <w:sz w:val="24"/>
          <w:szCs w:val="24"/>
        </w:rPr>
      </w:pPr>
      <w:r w:rsidRPr="00475A5F">
        <w:rPr>
          <w:rStyle w:val="Naglaeno"/>
          <w:rFonts w:ascii="Times New Roman" w:hAnsi="Times New Roman"/>
          <w:b w:val="0"/>
          <w:bCs w:val="0"/>
          <w:sz w:val="24"/>
          <w:szCs w:val="24"/>
        </w:rPr>
        <w:t xml:space="preserve">Adresa sjedišta obveznika: Trg Čazmanskog </w:t>
      </w:r>
      <w:r w:rsidR="00071B1D">
        <w:rPr>
          <w:rStyle w:val="Naglaeno"/>
          <w:rFonts w:ascii="Times New Roman" w:hAnsi="Times New Roman"/>
          <w:b w:val="0"/>
          <w:bCs w:val="0"/>
          <w:sz w:val="24"/>
          <w:szCs w:val="24"/>
        </w:rPr>
        <w:t>k</w:t>
      </w:r>
      <w:r w:rsidRPr="00475A5F">
        <w:rPr>
          <w:rStyle w:val="Naglaeno"/>
          <w:rFonts w:ascii="Times New Roman" w:hAnsi="Times New Roman"/>
          <w:b w:val="0"/>
          <w:bCs w:val="0"/>
          <w:sz w:val="24"/>
          <w:szCs w:val="24"/>
        </w:rPr>
        <w:t>aptola 13, Čazma</w:t>
      </w:r>
    </w:p>
    <w:p w14:paraId="5168717C" w14:textId="77777777" w:rsidR="00475A5F" w:rsidRPr="00475A5F" w:rsidRDefault="00475A5F" w:rsidP="00475A5F">
      <w:pPr>
        <w:pStyle w:val="Bezproreda"/>
        <w:spacing w:line="360" w:lineRule="auto"/>
        <w:rPr>
          <w:rStyle w:val="Naglaeno"/>
          <w:rFonts w:ascii="Times New Roman" w:hAnsi="Times New Roman"/>
          <w:b w:val="0"/>
          <w:bCs w:val="0"/>
          <w:sz w:val="24"/>
          <w:szCs w:val="24"/>
        </w:rPr>
      </w:pPr>
      <w:r w:rsidRPr="00475A5F">
        <w:rPr>
          <w:rStyle w:val="Naglaeno"/>
          <w:rFonts w:ascii="Times New Roman" w:hAnsi="Times New Roman"/>
          <w:b w:val="0"/>
          <w:bCs w:val="0"/>
          <w:sz w:val="24"/>
          <w:szCs w:val="24"/>
        </w:rPr>
        <w:t xml:space="preserve">Šifra županije: 7 </w:t>
      </w:r>
    </w:p>
    <w:p w14:paraId="2ED6748B" w14:textId="77777777" w:rsidR="00475A5F" w:rsidRPr="00475A5F" w:rsidRDefault="00475A5F" w:rsidP="00475A5F">
      <w:pPr>
        <w:pStyle w:val="Bezproreda"/>
        <w:spacing w:line="360" w:lineRule="auto"/>
        <w:rPr>
          <w:rStyle w:val="Naglaeno"/>
          <w:rFonts w:ascii="Times New Roman" w:hAnsi="Times New Roman"/>
          <w:b w:val="0"/>
          <w:bCs w:val="0"/>
          <w:sz w:val="24"/>
          <w:szCs w:val="24"/>
        </w:rPr>
      </w:pPr>
      <w:r w:rsidRPr="00475A5F">
        <w:rPr>
          <w:rStyle w:val="Naglaeno"/>
          <w:rFonts w:ascii="Times New Roman" w:hAnsi="Times New Roman"/>
          <w:b w:val="0"/>
          <w:bCs w:val="0"/>
          <w:sz w:val="24"/>
          <w:szCs w:val="24"/>
        </w:rPr>
        <w:t>Šifra općine/grada: 63</w:t>
      </w:r>
    </w:p>
    <w:p w14:paraId="7441D1CF" w14:textId="77777777" w:rsidR="00475A5F" w:rsidRPr="00475A5F" w:rsidRDefault="00475A5F" w:rsidP="00475A5F">
      <w:pPr>
        <w:pStyle w:val="Bezproreda"/>
        <w:spacing w:line="360" w:lineRule="auto"/>
        <w:rPr>
          <w:rStyle w:val="Naglaeno"/>
          <w:rFonts w:ascii="Times New Roman" w:hAnsi="Times New Roman"/>
          <w:b w:val="0"/>
          <w:bCs w:val="0"/>
          <w:sz w:val="24"/>
          <w:szCs w:val="24"/>
        </w:rPr>
      </w:pPr>
      <w:r w:rsidRPr="00475A5F">
        <w:rPr>
          <w:rStyle w:val="Naglaeno"/>
          <w:rFonts w:ascii="Times New Roman" w:hAnsi="Times New Roman"/>
          <w:b w:val="0"/>
          <w:bCs w:val="0"/>
          <w:sz w:val="24"/>
          <w:szCs w:val="24"/>
        </w:rPr>
        <w:t>Broj RKP-a: 42161</w:t>
      </w:r>
    </w:p>
    <w:p w14:paraId="1C1ADFD2" w14:textId="77777777" w:rsidR="00475A5F" w:rsidRPr="00475A5F" w:rsidRDefault="00475A5F" w:rsidP="00475A5F">
      <w:pPr>
        <w:pStyle w:val="Bezproreda"/>
        <w:spacing w:line="360" w:lineRule="auto"/>
        <w:rPr>
          <w:rStyle w:val="Naglaeno"/>
          <w:rFonts w:ascii="Times New Roman" w:hAnsi="Times New Roman"/>
          <w:b w:val="0"/>
          <w:bCs w:val="0"/>
          <w:sz w:val="24"/>
          <w:szCs w:val="24"/>
        </w:rPr>
      </w:pPr>
      <w:r w:rsidRPr="00475A5F">
        <w:rPr>
          <w:rStyle w:val="Naglaeno"/>
          <w:rFonts w:ascii="Times New Roman" w:hAnsi="Times New Roman"/>
          <w:b w:val="0"/>
          <w:bCs w:val="0"/>
          <w:sz w:val="24"/>
          <w:szCs w:val="24"/>
        </w:rPr>
        <w:t>MB: 00136328</w:t>
      </w:r>
    </w:p>
    <w:p w14:paraId="4E094B3D" w14:textId="77777777" w:rsidR="00475A5F" w:rsidRPr="00475A5F" w:rsidRDefault="00475A5F" w:rsidP="00475A5F">
      <w:pPr>
        <w:pStyle w:val="Bezproreda"/>
        <w:spacing w:line="360" w:lineRule="auto"/>
        <w:rPr>
          <w:rStyle w:val="Naglaeno"/>
          <w:rFonts w:ascii="Times New Roman" w:hAnsi="Times New Roman"/>
          <w:b w:val="0"/>
          <w:bCs w:val="0"/>
          <w:sz w:val="24"/>
          <w:szCs w:val="24"/>
        </w:rPr>
      </w:pPr>
      <w:r w:rsidRPr="00475A5F">
        <w:rPr>
          <w:rStyle w:val="Naglaeno"/>
          <w:rFonts w:ascii="Times New Roman" w:hAnsi="Times New Roman"/>
          <w:b w:val="0"/>
          <w:bCs w:val="0"/>
          <w:sz w:val="24"/>
          <w:szCs w:val="24"/>
        </w:rPr>
        <w:t>OIB:</w:t>
      </w:r>
      <w:r w:rsidRPr="00475A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75A5F">
        <w:rPr>
          <w:rFonts w:ascii="Times New Roman" w:hAnsi="Times New Roman"/>
          <w:sz w:val="24"/>
          <w:szCs w:val="24"/>
        </w:rPr>
        <w:t>77577225503</w:t>
      </w:r>
      <w:r w:rsidRPr="00475A5F">
        <w:rPr>
          <w:rStyle w:val="Naglaeno"/>
          <w:rFonts w:ascii="Times New Roman" w:hAnsi="Times New Roman"/>
          <w:sz w:val="24"/>
          <w:szCs w:val="24"/>
        </w:rPr>
        <w:t xml:space="preserve"> </w:t>
      </w:r>
    </w:p>
    <w:p w14:paraId="559835BB" w14:textId="77777777" w:rsidR="00475A5F" w:rsidRPr="00475A5F" w:rsidRDefault="00475A5F" w:rsidP="00475A5F">
      <w:pPr>
        <w:pStyle w:val="Bezproreda"/>
        <w:spacing w:line="360" w:lineRule="auto"/>
        <w:rPr>
          <w:rStyle w:val="Naglaeno"/>
          <w:rFonts w:ascii="Times New Roman" w:hAnsi="Times New Roman"/>
          <w:b w:val="0"/>
          <w:bCs w:val="0"/>
          <w:sz w:val="24"/>
          <w:szCs w:val="24"/>
        </w:rPr>
      </w:pPr>
      <w:r w:rsidRPr="00475A5F">
        <w:rPr>
          <w:rStyle w:val="Naglaeno"/>
          <w:rFonts w:ascii="Times New Roman" w:hAnsi="Times New Roman"/>
          <w:b w:val="0"/>
          <w:bCs w:val="0"/>
          <w:sz w:val="24"/>
          <w:szCs w:val="24"/>
        </w:rPr>
        <w:t>Razina: 21</w:t>
      </w:r>
    </w:p>
    <w:p w14:paraId="4B522737" w14:textId="77777777" w:rsidR="00475A5F" w:rsidRPr="00475A5F" w:rsidRDefault="00475A5F" w:rsidP="00475A5F">
      <w:pPr>
        <w:pStyle w:val="Bezproreda"/>
        <w:spacing w:line="360" w:lineRule="auto"/>
        <w:rPr>
          <w:rStyle w:val="Naglaeno"/>
          <w:rFonts w:ascii="Times New Roman" w:hAnsi="Times New Roman"/>
          <w:b w:val="0"/>
          <w:bCs w:val="0"/>
          <w:sz w:val="24"/>
          <w:szCs w:val="24"/>
        </w:rPr>
      </w:pPr>
      <w:r w:rsidRPr="00475A5F">
        <w:rPr>
          <w:rStyle w:val="Naglaeno"/>
          <w:rFonts w:ascii="Times New Roman" w:hAnsi="Times New Roman"/>
          <w:b w:val="0"/>
          <w:bCs w:val="0"/>
          <w:sz w:val="24"/>
          <w:szCs w:val="24"/>
        </w:rPr>
        <w:t>Razdjel: 0</w:t>
      </w:r>
    </w:p>
    <w:p w14:paraId="29B7527B" w14:textId="77777777" w:rsidR="00475A5F" w:rsidRPr="00475A5F" w:rsidRDefault="00475A5F" w:rsidP="00475A5F">
      <w:pPr>
        <w:pStyle w:val="Bezproreda"/>
        <w:spacing w:line="360" w:lineRule="auto"/>
        <w:rPr>
          <w:rStyle w:val="Naglaeno"/>
          <w:rFonts w:ascii="Times New Roman" w:hAnsi="Times New Roman"/>
          <w:b w:val="0"/>
          <w:bCs w:val="0"/>
          <w:sz w:val="24"/>
          <w:szCs w:val="24"/>
        </w:rPr>
      </w:pPr>
      <w:r w:rsidRPr="00475A5F">
        <w:rPr>
          <w:rStyle w:val="Naglaeno"/>
          <w:rFonts w:ascii="Times New Roman" w:hAnsi="Times New Roman"/>
          <w:b w:val="0"/>
          <w:bCs w:val="0"/>
          <w:sz w:val="24"/>
          <w:szCs w:val="24"/>
        </w:rPr>
        <w:t>Šifra djelatnosti: 9102 Djelatnost muzeja</w:t>
      </w:r>
    </w:p>
    <w:p w14:paraId="78E408EE" w14:textId="77777777" w:rsidR="00475A5F" w:rsidRDefault="00475A5F" w:rsidP="00475A5F">
      <w:pPr>
        <w:pStyle w:val="Bezproreda"/>
        <w:rPr>
          <w:rFonts w:ascii="Times New Roman" w:hAnsi="Times New Roman"/>
          <w:sz w:val="24"/>
          <w:szCs w:val="24"/>
        </w:rPr>
      </w:pPr>
    </w:p>
    <w:p w14:paraId="1ABDDDEF" w14:textId="77777777" w:rsidR="00362C9C" w:rsidRDefault="00362C9C"/>
    <w:p w14:paraId="3E9CE85C" w14:textId="77777777" w:rsidR="00362C9C" w:rsidRDefault="00362C9C"/>
    <w:p w14:paraId="5832F852" w14:textId="1B9FF1C3" w:rsidR="006649AF" w:rsidRPr="00362C9C" w:rsidRDefault="0055489B" w:rsidP="00362C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C9C">
        <w:rPr>
          <w:rFonts w:ascii="Times New Roman" w:hAnsi="Times New Roman" w:cs="Times New Roman"/>
          <w:b/>
          <w:bCs/>
          <w:sz w:val="24"/>
          <w:szCs w:val="24"/>
        </w:rPr>
        <w:t>OBRAZLOŽENJE POLUGODIŠNJEG IZVJEŠTAJA O IZVRŠENJU FINANCIJSKOG PLANA ZA 202</w:t>
      </w:r>
      <w:r w:rsidR="00E8266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62C9C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69C4E5B1" w14:textId="134F6A14" w:rsidR="00362C9C" w:rsidRPr="00902DB2" w:rsidRDefault="0055489B" w:rsidP="00362C9C">
      <w:pPr>
        <w:jc w:val="center"/>
        <w:rPr>
          <w:rFonts w:ascii="Times New Roman" w:hAnsi="Times New Roman" w:cs="Times New Roman"/>
          <w:sz w:val="24"/>
          <w:szCs w:val="24"/>
        </w:rPr>
      </w:pPr>
      <w:r w:rsidRPr="00902DB2">
        <w:rPr>
          <w:rFonts w:ascii="Times New Roman" w:hAnsi="Times New Roman" w:cs="Times New Roman"/>
          <w:sz w:val="24"/>
          <w:szCs w:val="24"/>
        </w:rPr>
        <w:t>razdoblje 01.01.202</w:t>
      </w:r>
      <w:r w:rsidR="00472C87">
        <w:rPr>
          <w:rFonts w:ascii="Times New Roman" w:hAnsi="Times New Roman" w:cs="Times New Roman"/>
          <w:sz w:val="24"/>
          <w:szCs w:val="24"/>
        </w:rPr>
        <w:t>4</w:t>
      </w:r>
      <w:r w:rsidRPr="00902DB2">
        <w:rPr>
          <w:rFonts w:ascii="Times New Roman" w:hAnsi="Times New Roman" w:cs="Times New Roman"/>
          <w:sz w:val="24"/>
          <w:szCs w:val="24"/>
        </w:rPr>
        <w:t>. – 30.06.202</w:t>
      </w:r>
      <w:r w:rsidR="00472C87">
        <w:rPr>
          <w:rFonts w:ascii="Times New Roman" w:hAnsi="Times New Roman" w:cs="Times New Roman"/>
          <w:sz w:val="24"/>
          <w:szCs w:val="24"/>
        </w:rPr>
        <w:t>4</w:t>
      </w:r>
      <w:r w:rsidRPr="00902D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A45D16" w14:textId="77777777" w:rsidR="00362C9C" w:rsidRDefault="00362C9C" w:rsidP="0055489B">
      <w:pPr>
        <w:jc w:val="center"/>
      </w:pPr>
    </w:p>
    <w:p w14:paraId="59627AD0" w14:textId="7E87A8DB" w:rsidR="0055489B" w:rsidRPr="00362C9C" w:rsidRDefault="006B2C6B" w:rsidP="007B0B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C9C">
        <w:rPr>
          <w:rFonts w:ascii="Times New Roman" w:hAnsi="Times New Roman" w:cs="Times New Roman"/>
          <w:sz w:val="24"/>
          <w:szCs w:val="24"/>
        </w:rPr>
        <w:t>Obveza izrade polugodišnje i godišnjeg izvještaja o izvršenju financijskog plana proračunskih korisnika propisana je čl. 81 Zakona o proračunu</w:t>
      </w:r>
      <w:r w:rsidR="00912F9A" w:rsidRPr="00362C9C">
        <w:rPr>
          <w:rFonts w:ascii="Times New Roman" w:hAnsi="Times New Roman" w:cs="Times New Roman"/>
          <w:sz w:val="24"/>
          <w:szCs w:val="24"/>
        </w:rPr>
        <w:t xml:space="preserve"> NN br. 144/2021 te </w:t>
      </w:r>
      <w:r w:rsidR="00765CEA" w:rsidRPr="00362C9C">
        <w:rPr>
          <w:rFonts w:ascii="Times New Roman" w:hAnsi="Times New Roman" w:cs="Times New Roman"/>
          <w:sz w:val="24"/>
          <w:szCs w:val="24"/>
        </w:rPr>
        <w:t>Pravilnikom o polugodišnjem i godišnjem izvještaju o izvršenju proračuna i financijskog plana NN br. 85/2023</w:t>
      </w:r>
      <w:r w:rsidR="00362C9C">
        <w:rPr>
          <w:rFonts w:ascii="Times New Roman" w:hAnsi="Times New Roman" w:cs="Times New Roman"/>
          <w:sz w:val="24"/>
          <w:szCs w:val="24"/>
        </w:rPr>
        <w:t>.</w:t>
      </w:r>
    </w:p>
    <w:p w14:paraId="2994A5F1" w14:textId="227C49EA" w:rsidR="006B2C6B" w:rsidRDefault="006B2C6B" w:rsidP="007B0B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gore navedenog Izvještaj o izvršenju financijskog plana </w:t>
      </w:r>
      <w:r w:rsidR="00A66432">
        <w:rPr>
          <w:rFonts w:ascii="Times New Roman" w:hAnsi="Times New Roman" w:cs="Times New Roman"/>
          <w:sz w:val="24"/>
          <w:szCs w:val="24"/>
        </w:rPr>
        <w:t>Centra za kulturu Čazma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017">
        <w:rPr>
          <w:rFonts w:ascii="Times New Roman" w:hAnsi="Times New Roman" w:cs="Times New Roman"/>
          <w:sz w:val="24"/>
          <w:szCs w:val="24"/>
        </w:rPr>
        <w:t xml:space="preserve">(u daljnjem tekstu: </w:t>
      </w:r>
      <w:r w:rsidR="00A66432">
        <w:rPr>
          <w:rFonts w:ascii="Times New Roman" w:hAnsi="Times New Roman" w:cs="Times New Roman"/>
          <w:sz w:val="24"/>
          <w:szCs w:val="24"/>
        </w:rPr>
        <w:t>Centar</w:t>
      </w:r>
      <w:r w:rsidR="009D101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sastoji se od: </w:t>
      </w:r>
    </w:p>
    <w:p w14:paraId="182974C2" w14:textId="77777777" w:rsidR="00765CEA" w:rsidRDefault="006B2C6B" w:rsidP="007B0B9D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Opći dio</w:t>
      </w:r>
      <w:r w:rsidR="00765CEA">
        <w:rPr>
          <w:rFonts w:ascii="Times New Roman" w:hAnsi="Times New Roman" w:cs="Times New Roman"/>
          <w:sz w:val="24"/>
          <w:szCs w:val="24"/>
        </w:rPr>
        <w:t>:</w:t>
      </w:r>
    </w:p>
    <w:p w14:paraId="46AEE086" w14:textId="0970F293" w:rsidR="006B2C6B" w:rsidRPr="00765CEA" w:rsidRDefault="006B2C6B" w:rsidP="007B0B9D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CEA">
        <w:rPr>
          <w:rFonts w:ascii="Times New Roman" w:hAnsi="Times New Roman" w:cs="Times New Roman"/>
          <w:sz w:val="24"/>
          <w:szCs w:val="24"/>
        </w:rPr>
        <w:t>Sažetak A. Računa prihoda i rashoda i B. Računa financiranja</w:t>
      </w:r>
    </w:p>
    <w:p w14:paraId="631008C2" w14:textId="67C3EF24" w:rsidR="00765CEA" w:rsidRPr="00765CEA" w:rsidRDefault="00765CEA" w:rsidP="007B0B9D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CEA">
        <w:rPr>
          <w:rFonts w:ascii="Times New Roman" w:hAnsi="Times New Roman" w:cs="Times New Roman"/>
          <w:sz w:val="24"/>
          <w:szCs w:val="24"/>
        </w:rPr>
        <w:t>Račun prihoda i rashoda</w:t>
      </w:r>
    </w:p>
    <w:p w14:paraId="3DE84F15" w14:textId="59CE86A3" w:rsidR="006B2C6B" w:rsidRPr="00765CEA" w:rsidRDefault="006B2C6B" w:rsidP="007B0B9D">
      <w:pPr>
        <w:pStyle w:val="Odlomakpopisa"/>
        <w:spacing w:line="276" w:lineRule="auto"/>
        <w:ind w:left="212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5CEA">
        <w:rPr>
          <w:rFonts w:ascii="Times New Roman" w:hAnsi="Times New Roman" w:cs="Times New Roman"/>
          <w:i/>
          <w:iCs/>
          <w:sz w:val="24"/>
          <w:szCs w:val="24"/>
        </w:rPr>
        <w:t>- Prihodi i rashodi prema ekonomskoj klasifikaciji i izvorima financiranja</w:t>
      </w:r>
    </w:p>
    <w:p w14:paraId="142EA50F" w14:textId="77777777" w:rsidR="006B2C6B" w:rsidRPr="00765CEA" w:rsidRDefault="006B2C6B" w:rsidP="007B0B9D">
      <w:pPr>
        <w:pStyle w:val="Odlomakpopisa"/>
        <w:spacing w:line="276" w:lineRule="auto"/>
        <w:ind w:left="212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5CEA">
        <w:rPr>
          <w:rFonts w:ascii="Times New Roman" w:hAnsi="Times New Roman" w:cs="Times New Roman"/>
          <w:i/>
          <w:iCs/>
          <w:sz w:val="24"/>
          <w:szCs w:val="24"/>
        </w:rPr>
        <w:t>- Rashodi prema funkcijskoj klasifikaciji</w:t>
      </w:r>
    </w:p>
    <w:p w14:paraId="5C7EEE6A" w14:textId="62BA1ECE" w:rsidR="006B2C6B" w:rsidRDefault="00765CEA" w:rsidP="007B0B9D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C6B" w:rsidRPr="00765CEA">
        <w:rPr>
          <w:rFonts w:ascii="Times New Roman" w:hAnsi="Times New Roman" w:cs="Times New Roman"/>
          <w:sz w:val="24"/>
          <w:szCs w:val="24"/>
        </w:rPr>
        <w:t>Račun financiranja</w:t>
      </w:r>
    </w:p>
    <w:p w14:paraId="3E196C00" w14:textId="09406F2A" w:rsidR="00765CEA" w:rsidRPr="00765CEA" w:rsidRDefault="00765CEA" w:rsidP="007B0B9D">
      <w:pPr>
        <w:pStyle w:val="box474667"/>
        <w:shd w:val="clear" w:color="auto" w:fill="FFFFFF"/>
        <w:spacing w:before="0" w:beforeAutospacing="0" w:after="48" w:afterAutospacing="0" w:line="276" w:lineRule="auto"/>
        <w:ind w:left="1824" w:firstLine="408"/>
        <w:jc w:val="both"/>
        <w:textAlignment w:val="baseline"/>
        <w:rPr>
          <w:i/>
          <w:iCs/>
          <w:color w:val="231F20"/>
        </w:rPr>
      </w:pPr>
      <w:r w:rsidRPr="00765CEA">
        <w:rPr>
          <w:i/>
          <w:iCs/>
          <w:color w:val="231F20"/>
        </w:rPr>
        <w:t>- Izvještaj računa financiranja prema ekonomskoj klasifikaciji,</w:t>
      </w:r>
    </w:p>
    <w:p w14:paraId="387B763E" w14:textId="5624628E" w:rsidR="00765CEA" w:rsidRPr="00543C7A" w:rsidRDefault="00765CEA" w:rsidP="007B0B9D">
      <w:pPr>
        <w:pStyle w:val="box474667"/>
        <w:shd w:val="clear" w:color="auto" w:fill="FFFFFF"/>
        <w:spacing w:before="0" w:beforeAutospacing="0" w:after="48" w:afterAutospacing="0" w:line="276" w:lineRule="auto"/>
        <w:ind w:left="1824" w:firstLine="408"/>
        <w:jc w:val="both"/>
        <w:textAlignment w:val="baseline"/>
        <w:rPr>
          <w:i/>
          <w:iCs/>
          <w:color w:val="231F20"/>
        </w:rPr>
      </w:pPr>
      <w:r w:rsidRPr="00765CEA">
        <w:rPr>
          <w:i/>
          <w:iCs/>
          <w:color w:val="231F20"/>
        </w:rPr>
        <w:t>- Izvještaj računa financiranja prema izvorima financiranja</w:t>
      </w:r>
    </w:p>
    <w:p w14:paraId="29E450C9" w14:textId="77777777" w:rsidR="00543C7A" w:rsidRDefault="006B2C6B" w:rsidP="007B0B9D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Posebni dio </w:t>
      </w:r>
    </w:p>
    <w:p w14:paraId="0C8D3AAB" w14:textId="32C96F5E" w:rsidR="006B2C6B" w:rsidRDefault="006B2C6B" w:rsidP="007B0B9D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Izvršenje rashoda i izdataka prema programskoj i ekonomskoj klasifikaciji te izvorima financiranja</w:t>
      </w:r>
    </w:p>
    <w:p w14:paraId="5DD20C88" w14:textId="2E3FB1D4" w:rsidR="0055489B" w:rsidRPr="00362C9C" w:rsidRDefault="006B2C6B" w:rsidP="007B0B9D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1686D3FE" w14:textId="77777777" w:rsidR="0055489B" w:rsidRDefault="0055489B" w:rsidP="007B0B9D">
      <w:pPr>
        <w:spacing w:line="276" w:lineRule="auto"/>
        <w:jc w:val="center"/>
      </w:pPr>
    </w:p>
    <w:p w14:paraId="75447D96" w14:textId="687DAFDE" w:rsidR="00EA43BE" w:rsidRPr="00362C9C" w:rsidRDefault="006649AF" w:rsidP="007B0B9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C9C">
        <w:rPr>
          <w:rFonts w:ascii="Times New Roman" w:hAnsi="Times New Roman" w:cs="Times New Roman"/>
          <w:sz w:val="24"/>
          <w:szCs w:val="24"/>
        </w:rPr>
        <w:t>OBRAZLOŽENJE OPĆEG DIJELA IZVJEŠTAJA O IZVRŠENJU FINANCI</w:t>
      </w:r>
      <w:r w:rsidR="00902DB2">
        <w:rPr>
          <w:rFonts w:ascii="Times New Roman" w:hAnsi="Times New Roman" w:cs="Times New Roman"/>
          <w:sz w:val="24"/>
          <w:szCs w:val="24"/>
        </w:rPr>
        <w:t>J</w:t>
      </w:r>
      <w:r w:rsidRPr="00362C9C">
        <w:rPr>
          <w:rFonts w:ascii="Times New Roman" w:hAnsi="Times New Roman" w:cs="Times New Roman"/>
          <w:sz w:val="24"/>
          <w:szCs w:val="24"/>
        </w:rPr>
        <w:t>SKOG PLANA</w:t>
      </w:r>
    </w:p>
    <w:p w14:paraId="4DFE63F5" w14:textId="77777777" w:rsidR="006649AF" w:rsidRDefault="006649AF" w:rsidP="007B0B9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19075B" w14:textId="42B74B18" w:rsidR="006649AF" w:rsidRDefault="006649AF" w:rsidP="007B0B9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Sažetak A. Računa prihoda i rashoda i B. Računa financiranja</w:t>
      </w:r>
    </w:p>
    <w:p w14:paraId="63537B8A" w14:textId="77777777" w:rsidR="006649AF" w:rsidRDefault="006649AF" w:rsidP="007B0B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61519B5" w14:textId="77777777" w:rsidR="00DB3B6C" w:rsidRDefault="00DB3B6C" w:rsidP="004611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Sažetak A. Računa prihoda i rashoda i B. Računa financiranja daje prikaz ukupnih prihoda i primitaka, te rashoda i izdataka na razini razreda ekonomske klasifikacije, kao i višak/manjak prihoda.</w:t>
      </w:r>
    </w:p>
    <w:p w14:paraId="4287E648" w14:textId="77777777" w:rsidR="00DB3B6C" w:rsidRDefault="00DB3B6C" w:rsidP="004611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ovom izvještajnom razdoblju evidentiran je višak prihoda od 2.726,83 eura koji se sastoji od viška vlastitih prihoda (389,39 eura), prihoda iz nadležnog proračuna ( 637,44 eura) te prihoda iz drugih proračuna koji nisu nadležni (1.700,00 eura). Višak prihoda iz nadležnog proračuna proizlazi iz uplate financijskih sredstava u siječnju za troškove koji su evidentirani u prosincu 2023. godine.</w:t>
      </w:r>
    </w:p>
    <w:p w14:paraId="729A3477" w14:textId="7415D9D2" w:rsidR="00DB3B6C" w:rsidRDefault="00DB3B6C" w:rsidP="004611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Preneseni manjak prihoda iz prethodne godine iznosi 4.412,66 eura </w:t>
      </w:r>
      <w:r w:rsidR="000F16E6">
        <w:rPr>
          <w:rFonts w:ascii="Times New Roman" w:hAnsi="Times New Roman" w:cs="Times New Roman"/>
          <w:sz w:val="24"/>
          <w:szCs w:val="24"/>
        </w:rPr>
        <w:t xml:space="preserve">što je metodološki manjak </w:t>
      </w:r>
      <w:r w:rsidR="0046117E">
        <w:rPr>
          <w:rFonts w:ascii="Times New Roman" w:hAnsi="Times New Roman" w:cs="Times New Roman"/>
          <w:sz w:val="24"/>
          <w:szCs w:val="24"/>
        </w:rPr>
        <w:t>iz nadležnog proračuna koji je podmiren u siječnju 2024. godine.</w:t>
      </w:r>
    </w:p>
    <w:p w14:paraId="429BBF46" w14:textId="77777777" w:rsidR="0046117E" w:rsidRDefault="0046117E" w:rsidP="006649AF">
      <w:pPr>
        <w:rPr>
          <w:rFonts w:ascii="Times New Roman" w:hAnsi="Times New Roman" w:cs="Times New Roman"/>
          <w:sz w:val="20"/>
          <w:szCs w:val="20"/>
        </w:rPr>
      </w:pPr>
    </w:p>
    <w:p w14:paraId="4E478F71" w14:textId="77777777" w:rsidR="004E5B60" w:rsidRDefault="00C8368F" w:rsidP="006649A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237D2B" wp14:editId="6B39EBBA">
            <wp:extent cx="4532731" cy="2426245"/>
            <wp:effectExtent l="0" t="0" r="1270" b="12700"/>
            <wp:docPr id="1986975344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B782C8B" w14:textId="28152560" w:rsidR="004B2961" w:rsidRDefault="004B2961" w:rsidP="006649AF">
      <w:pPr>
        <w:rPr>
          <w:rFonts w:ascii="Times New Roman" w:hAnsi="Times New Roman" w:cs="Times New Roman"/>
          <w:sz w:val="20"/>
          <w:szCs w:val="20"/>
        </w:rPr>
      </w:pPr>
      <w:r w:rsidRPr="004B2961">
        <w:rPr>
          <w:rFonts w:ascii="Times New Roman" w:hAnsi="Times New Roman" w:cs="Times New Roman"/>
          <w:sz w:val="20"/>
          <w:szCs w:val="20"/>
        </w:rPr>
        <w:t>Grafikon 1. Sažetak prihoda i rashoda</w:t>
      </w:r>
    </w:p>
    <w:p w14:paraId="2260D2BA" w14:textId="77777777" w:rsidR="0046117E" w:rsidRDefault="0046117E" w:rsidP="006649AF">
      <w:pPr>
        <w:rPr>
          <w:rFonts w:ascii="Times New Roman" w:hAnsi="Times New Roman" w:cs="Times New Roman"/>
          <w:sz w:val="20"/>
          <w:szCs w:val="20"/>
        </w:rPr>
      </w:pPr>
    </w:p>
    <w:p w14:paraId="51D29633" w14:textId="3F81446B" w:rsidR="00382920" w:rsidRDefault="006E3B24" w:rsidP="00382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82920">
        <w:rPr>
          <w:rFonts w:ascii="Times New Roman" w:hAnsi="Times New Roman" w:cs="Times New Roman"/>
          <w:sz w:val="24"/>
          <w:szCs w:val="24"/>
        </w:rPr>
        <w:t xml:space="preserve">rihodi u ovom izvještajnom </w:t>
      </w:r>
      <w:r>
        <w:rPr>
          <w:rFonts w:ascii="Times New Roman" w:hAnsi="Times New Roman" w:cs="Times New Roman"/>
          <w:sz w:val="24"/>
          <w:szCs w:val="24"/>
        </w:rPr>
        <w:t xml:space="preserve">razdoblju ostvareni su 12,77% financijskog plana i </w:t>
      </w:r>
      <w:r w:rsidR="00382920">
        <w:rPr>
          <w:rFonts w:ascii="Times New Roman" w:hAnsi="Times New Roman" w:cs="Times New Roman"/>
          <w:sz w:val="24"/>
          <w:szCs w:val="24"/>
        </w:rPr>
        <w:t>značajno</w:t>
      </w:r>
      <w:r>
        <w:rPr>
          <w:rFonts w:ascii="Times New Roman" w:hAnsi="Times New Roman" w:cs="Times New Roman"/>
          <w:sz w:val="24"/>
          <w:szCs w:val="24"/>
        </w:rPr>
        <w:t xml:space="preserve"> su </w:t>
      </w:r>
      <w:r w:rsidR="00382920">
        <w:rPr>
          <w:rFonts w:ascii="Times New Roman" w:hAnsi="Times New Roman" w:cs="Times New Roman"/>
          <w:sz w:val="24"/>
          <w:szCs w:val="24"/>
        </w:rPr>
        <w:t xml:space="preserve">smanjeni u odnosu na prethodnu godinu. Razlog smanjenja je prihod ostvaren prethodne godine koji se odnosio na </w:t>
      </w:r>
      <w:r w:rsidR="00382920" w:rsidRPr="0058331D">
        <w:rPr>
          <w:rFonts w:ascii="Times New Roman" w:hAnsi="Times New Roman" w:cs="Times New Roman"/>
          <w:sz w:val="24"/>
          <w:szCs w:val="24"/>
        </w:rPr>
        <w:t>bespovratna sredstva Fonda solidarnosti EU za obnovu objekata baštine oštećenih u potresu 2020. 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49E107" w14:textId="654B70B7" w:rsidR="004E5B60" w:rsidRDefault="006E3B24" w:rsidP="004E5B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Evidentirani rashodi u ovom izvještajnom razdoblju ostvareni su 12,34% financijskog plana</w:t>
      </w:r>
      <w:r w:rsidR="00C759E2">
        <w:rPr>
          <w:rFonts w:ascii="Times New Roman" w:hAnsi="Times New Roman" w:cs="Times New Roman"/>
          <w:sz w:val="24"/>
          <w:szCs w:val="24"/>
        </w:rPr>
        <w:t xml:space="preserve"> i smanjeni su u odnosu </w:t>
      </w:r>
      <w:r>
        <w:rPr>
          <w:rFonts w:ascii="Times New Roman" w:hAnsi="Times New Roman" w:cs="Times New Roman"/>
          <w:sz w:val="24"/>
          <w:szCs w:val="24"/>
        </w:rPr>
        <w:t>na prethodnu godinu</w:t>
      </w:r>
      <w:r w:rsidR="00C759E2">
        <w:rPr>
          <w:rFonts w:ascii="Times New Roman" w:hAnsi="Times New Roman" w:cs="Times New Roman"/>
          <w:sz w:val="24"/>
          <w:szCs w:val="24"/>
        </w:rPr>
        <w:t xml:space="preserve"> sukladno ostvarenim prihodima</w:t>
      </w:r>
      <w:r w:rsidR="004E5B60">
        <w:rPr>
          <w:rFonts w:ascii="Times New Roman" w:hAnsi="Times New Roman" w:cs="Times New Roman"/>
          <w:sz w:val="24"/>
          <w:szCs w:val="24"/>
        </w:rPr>
        <w:t>.</w:t>
      </w:r>
    </w:p>
    <w:p w14:paraId="6087CF25" w14:textId="5325BD7B" w:rsidR="00E7785F" w:rsidRDefault="00146D79" w:rsidP="00146D79">
      <w:pPr>
        <w:pStyle w:val="Odlomakpopisa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Račun prihoda i rashoda</w:t>
      </w:r>
    </w:p>
    <w:p w14:paraId="459FDBF9" w14:textId="77777777" w:rsidR="00146D79" w:rsidRDefault="00146D79" w:rsidP="00146D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685BAF" w14:textId="77777777" w:rsidR="00146D79" w:rsidRDefault="00146D79" w:rsidP="00146D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58C5ED" w14:textId="17884D7C" w:rsidR="00146D79" w:rsidRDefault="00146D79" w:rsidP="00475A5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46D79">
        <w:rPr>
          <w:rFonts w:ascii="Times New Roman" w:hAnsi="Times New Roman" w:cs="Times New Roman"/>
          <w:i/>
          <w:iCs/>
          <w:sz w:val="24"/>
          <w:szCs w:val="24"/>
        </w:rPr>
        <w:t>Izvještaj o prihodima i rashodima prema ekonomskoj klasifikaciji</w:t>
      </w:r>
    </w:p>
    <w:p w14:paraId="22A96D6B" w14:textId="11DF96CA" w:rsidR="00146D79" w:rsidRDefault="008C7601" w:rsidP="00146D7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49A887DE" wp14:editId="70228E3C">
            <wp:extent cx="5688330" cy="3102229"/>
            <wp:effectExtent l="0" t="0" r="7620" b="3175"/>
            <wp:docPr id="1414096127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598A549" w14:textId="01BC30A2" w:rsidR="00AD4756" w:rsidRPr="004126D7" w:rsidRDefault="004126D7" w:rsidP="004126D7">
      <w:pPr>
        <w:rPr>
          <w:rFonts w:ascii="Times New Roman" w:hAnsi="Times New Roman" w:cs="Times New Roman"/>
          <w:sz w:val="20"/>
          <w:szCs w:val="20"/>
        </w:rPr>
      </w:pPr>
      <w:r w:rsidRPr="004126D7">
        <w:rPr>
          <w:rFonts w:ascii="Times New Roman" w:hAnsi="Times New Roman" w:cs="Times New Roman"/>
          <w:sz w:val="20"/>
          <w:szCs w:val="20"/>
        </w:rPr>
        <w:t>Grafikon 2. Prihodi prema ekonomskoj klasifikaciji</w:t>
      </w:r>
    </w:p>
    <w:p w14:paraId="15B13A49" w14:textId="77777777" w:rsidR="004126D7" w:rsidRDefault="004126D7" w:rsidP="007B0B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3EE671D" w14:textId="77777777" w:rsidR="001C348A" w:rsidRDefault="00747CAB" w:rsidP="001C348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Iz Grafikona 2 vidljivo je da su najznačajniji prihodi ostvareni po ekonomskoj klasifikaciji 6</w:t>
      </w:r>
      <w:r w:rsidR="00C759E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odnosno prihodi iz </w:t>
      </w:r>
      <w:r w:rsidR="00C759E2">
        <w:rPr>
          <w:rFonts w:ascii="Times New Roman" w:hAnsi="Times New Roman" w:cs="Times New Roman"/>
          <w:sz w:val="24"/>
          <w:szCs w:val="24"/>
        </w:rPr>
        <w:t xml:space="preserve">nadležnog proračuna </w:t>
      </w:r>
      <w:r w:rsidR="00C759E2" w:rsidRPr="0058331D">
        <w:rPr>
          <w:rFonts w:ascii="Times New Roman" w:eastAsia="Times New Roman" w:hAnsi="Times New Roman" w:cs="Times New Roman"/>
          <w:sz w:val="24"/>
          <w:szCs w:val="24"/>
          <w:lang w:eastAsia="hr-HR"/>
        </w:rPr>
        <w:t>za financiranje rashoda poslovanja</w:t>
      </w:r>
      <w:r w:rsidR="001C34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759E2" w:rsidRPr="0058331D">
        <w:rPr>
          <w:rFonts w:ascii="Times New Roman" w:eastAsia="Times New Roman" w:hAnsi="Times New Roman" w:cs="Times New Roman"/>
          <w:sz w:val="24"/>
          <w:szCs w:val="24"/>
          <w:lang w:eastAsia="hr-HR"/>
        </w:rPr>
        <w:t>Isti se odnosi na prihode iz Grada Čazme dospjele prema mjesečnim zahtjevima proračunskog korisnika za materijalne i financijske rashode,</w:t>
      </w:r>
      <w:r w:rsidR="00C759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759E2" w:rsidRPr="0058331D">
        <w:rPr>
          <w:rFonts w:ascii="Times New Roman" w:eastAsia="Times New Roman" w:hAnsi="Times New Roman" w:cs="Times New Roman"/>
          <w:sz w:val="24"/>
          <w:szCs w:val="24"/>
          <w:lang w:eastAsia="hr-HR"/>
        </w:rPr>
        <w:t>rashode za zaposlene</w:t>
      </w:r>
      <w:r w:rsidR="00C759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rashode za nabavu nefinancijske imovine. U odnosu na prethodno razdoblje nema značajnijih promjena u ostvarenim prihodima</w:t>
      </w:r>
      <w:r w:rsidR="001C34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navedene ekonomske klasifikacije.</w:t>
      </w:r>
    </w:p>
    <w:p w14:paraId="209D9727" w14:textId="5A45DCAE" w:rsidR="001C348A" w:rsidRPr="0058331D" w:rsidRDefault="001C348A" w:rsidP="001C34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Ekonomska klasifikacija</w:t>
      </w:r>
      <w:r w:rsidRPr="0058331D">
        <w:rPr>
          <w:rFonts w:ascii="Times New Roman" w:hAnsi="Times New Roman" w:cs="Times New Roman"/>
          <w:sz w:val="24"/>
          <w:szCs w:val="24"/>
        </w:rPr>
        <w:t xml:space="preserve"> 63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8331D">
        <w:rPr>
          <w:rFonts w:ascii="Times New Roman" w:hAnsi="Times New Roman" w:cs="Times New Roman"/>
          <w:sz w:val="24"/>
          <w:szCs w:val="24"/>
        </w:rPr>
        <w:t xml:space="preserve"> prikazuje prihode od</w:t>
      </w:r>
      <w:bookmarkStart w:id="0" w:name="_Hlk74831192"/>
      <w:r w:rsidR="00F67031">
        <w:rPr>
          <w:rFonts w:ascii="Times New Roman" w:hAnsi="Times New Roman" w:cs="Times New Roman"/>
          <w:sz w:val="24"/>
          <w:szCs w:val="24"/>
        </w:rPr>
        <w:t xml:space="preserve"> </w:t>
      </w:r>
      <w:r w:rsidRPr="0058331D">
        <w:rPr>
          <w:rFonts w:ascii="Times New Roman" w:hAnsi="Times New Roman" w:cs="Times New Roman"/>
          <w:sz w:val="24"/>
          <w:szCs w:val="24"/>
        </w:rPr>
        <w:t xml:space="preserve">Bjelovarsko-bilogorske županije te Ministarstva kulture i medija Republike Hrvatske </w:t>
      </w:r>
      <w:bookmarkEnd w:id="0"/>
      <w:r w:rsidRPr="0058331D">
        <w:rPr>
          <w:rFonts w:ascii="Times New Roman" w:hAnsi="Times New Roman" w:cs="Times New Roman"/>
          <w:sz w:val="24"/>
          <w:szCs w:val="24"/>
        </w:rPr>
        <w:t xml:space="preserve">koji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6"/>
          <w:szCs w:val="26"/>
        </w:rPr>
        <w:t>nisu značajnije povećali</w:t>
      </w:r>
      <w:r>
        <w:rPr>
          <w:rFonts w:ascii="Times New Roman" w:hAnsi="Times New Roman" w:cs="Times New Roman"/>
          <w:sz w:val="24"/>
          <w:szCs w:val="24"/>
        </w:rPr>
        <w:t xml:space="preserve"> u odnosu na prethodno razdoblje a </w:t>
      </w:r>
      <w:r w:rsidRPr="0058331D">
        <w:rPr>
          <w:rFonts w:ascii="Times New Roman" w:hAnsi="Times New Roman" w:cs="Times New Roman"/>
          <w:sz w:val="24"/>
          <w:szCs w:val="24"/>
        </w:rPr>
        <w:t xml:space="preserve">namijenjeni 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r w:rsidRPr="0058331D">
        <w:rPr>
          <w:rFonts w:ascii="Times New Roman" w:hAnsi="Times New Roman" w:cs="Times New Roman"/>
          <w:sz w:val="24"/>
          <w:szCs w:val="24"/>
        </w:rPr>
        <w:t>za realizaciju sljedećih programa:</w:t>
      </w:r>
    </w:p>
    <w:p w14:paraId="58BC78A0" w14:textId="77777777" w:rsidR="001C348A" w:rsidRPr="0058331D" w:rsidRDefault="001C348A" w:rsidP="001C348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331D">
        <w:rPr>
          <w:rFonts w:ascii="Times New Roman" w:hAnsi="Times New Roman" w:cs="Times New Roman"/>
          <w:sz w:val="24"/>
          <w:szCs w:val="24"/>
        </w:rPr>
        <w:t>Program muzejske djelatnosti „Cjelogodišnji izložbeni program Gradskog muzeja Čazma“</w:t>
      </w:r>
    </w:p>
    <w:p w14:paraId="516C7A93" w14:textId="77777777" w:rsidR="001C348A" w:rsidRDefault="001C348A" w:rsidP="001C348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331D">
        <w:rPr>
          <w:rFonts w:ascii="Times New Roman" w:hAnsi="Times New Roman" w:cs="Times New Roman"/>
          <w:sz w:val="24"/>
          <w:szCs w:val="24"/>
        </w:rPr>
        <w:t>Program muzejske djelatnosti: „Konzervatorsko-restauratorski radovi na predmetima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31D">
        <w:rPr>
          <w:rFonts w:ascii="Times New Roman" w:hAnsi="Times New Roman" w:cs="Times New Roman"/>
          <w:sz w:val="24"/>
          <w:szCs w:val="24"/>
        </w:rPr>
        <w:t>GMČ</w:t>
      </w:r>
    </w:p>
    <w:p w14:paraId="49A73B2F" w14:textId="77777777" w:rsidR="001C348A" w:rsidRPr="0058331D" w:rsidRDefault="001C348A" w:rsidP="001C348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obnove Moslavačke tradicijske kuće u Gornjem </w:t>
      </w:r>
      <w:proofErr w:type="spellStart"/>
      <w:r>
        <w:rPr>
          <w:rFonts w:ascii="Times New Roman" w:hAnsi="Times New Roman" w:cs="Times New Roman"/>
          <w:sz w:val="24"/>
          <w:szCs w:val="24"/>
        </w:rPr>
        <w:t>Mikloušu</w:t>
      </w:r>
      <w:proofErr w:type="spellEnd"/>
    </w:p>
    <w:p w14:paraId="424F0A05" w14:textId="77777777" w:rsidR="004E5B60" w:rsidRDefault="001C348A" w:rsidP="004E5B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Vidljive su značajne promjene u iznosima </w:t>
      </w:r>
      <w:r w:rsidR="00F67031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računu 638, odnosno u ovom izvještajnom razdoblju nema realizacije po istom računu dok je prethodne godine ostvareno 248.448,54 eura prihoda. Navedeni prihod ostvaren prethodne godine odnosio se na </w:t>
      </w:r>
      <w:r w:rsidRPr="0058331D">
        <w:rPr>
          <w:rFonts w:ascii="Times New Roman" w:hAnsi="Times New Roman" w:cs="Times New Roman"/>
          <w:sz w:val="24"/>
          <w:szCs w:val="24"/>
        </w:rPr>
        <w:t>bespovratna sredstva Fonda solidarnosti EU za obnovu objekata baštine oštećenih u potresu 2020. godine</w:t>
      </w:r>
      <w:r w:rsidR="004E5B60">
        <w:rPr>
          <w:rFonts w:ascii="Times New Roman" w:hAnsi="Times New Roman" w:cs="Times New Roman"/>
          <w:sz w:val="24"/>
          <w:szCs w:val="24"/>
        </w:rPr>
        <w:t>.</w:t>
      </w:r>
    </w:p>
    <w:p w14:paraId="11758D45" w14:textId="5AB73A93" w:rsidR="00F67031" w:rsidRPr="004E5B60" w:rsidRDefault="00F67031" w:rsidP="004E5B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31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Prihod od prodaje proizvoda i robe te pruženih usluga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8331D">
        <w:rPr>
          <w:rFonts w:ascii="Times New Roman" w:eastAsia="Times New Roman" w:hAnsi="Times New Roman" w:cs="Times New Roman"/>
          <w:sz w:val="24"/>
          <w:szCs w:val="24"/>
          <w:lang w:eastAsia="hr-HR"/>
        </w:rPr>
        <w:t>na računu 661 od 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65</w:t>
      </w:r>
      <w:r w:rsidRPr="005833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,00 eura podrazumijeva prihod od prodaje monografije Aleksandra </w:t>
      </w:r>
      <w:proofErr w:type="spellStart"/>
      <w:r w:rsidRPr="0058331D">
        <w:rPr>
          <w:rFonts w:ascii="Times New Roman" w:eastAsia="Times New Roman" w:hAnsi="Times New Roman" w:cs="Times New Roman"/>
          <w:sz w:val="24"/>
          <w:szCs w:val="24"/>
          <w:lang w:eastAsia="hr-HR"/>
        </w:rPr>
        <w:t>Marksa</w:t>
      </w:r>
      <w:proofErr w:type="spellEnd"/>
      <w:r w:rsidRPr="005833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prihod od pružanja usluga stručnog vođenja kustosa.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odnosu na prethodnu godinu nema značajnijih promjena u iznosima.</w:t>
      </w:r>
    </w:p>
    <w:p w14:paraId="0E8C46BE" w14:textId="33D0023D" w:rsidR="00F67031" w:rsidRPr="0058331D" w:rsidRDefault="00F67031" w:rsidP="004B47B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Hlk173224807"/>
      <w:r w:rsidRPr="005833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Kapitalne donacije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Pr="005833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računu 663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vidljivo su smanjene u odnosu na prethodno razdoblje budući da Centar za kulturu Čazma prihode po istom računu ostvaruje kroz donacije muzejskih</w:t>
      </w:r>
      <w:r w:rsidRPr="005833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izložaka za zbirke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</w:t>
      </w:r>
      <w:r w:rsidRPr="0058331D">
        <w:rPr>
          <w:rFonts w:ascii="Times New Roman" w:eastAsia="Times New Roman" w:hAnsi="Times New Roman" w:cs="Times New Roman"/>
          <w:sz w:val="24"/>
          <w:szCs w:val="24"/>
          <w:lang w:eastAsia="hr-HR"/>
        </w:rPr>
        <w:t>od strane fizičkih osoba i neprofitnih organizacija.</w:t>
      </w:r>
    </w:p>
    <w:bookmarkEnd w:id="1"/>
    <w:p w14:paraId="54460D50" w14:textId="77777777" w:rsidR="004E5B60" w:rsidRDefault="004E5B60" w:rsidP="004E5B6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06A9F4" w14:textId="6D403BE1" w:rsidR="00190776" w:rsidRDefault="00190776" w:rsidP="004E5B6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Ostali prihodi </w:t>
      </w:r>
      <w:r w:rsidR="00F67031">
        <w:rPr>
          <w:rFonts w:ascii="Times New Roman" w:hAnsi="Times New Roman" w:cs="Times New Roman"/>
          <w:sz w:val="24"/>
          <w:szCs w:val="24"/>
        </w:rPr>
        <w:t>evidentirani na račun</w:t>
      </w:r>
      <w:r w:rsidR="004B47B6">
        <w:rPr>
          <w:rFonts w:ascii="Times New Roman" w:hAnsi="Times New Roman" w:cs="Times New Roman"/>
          <w:sz w:val="24"/>
          <w:szCs w:val="24"/>
        </w:rPr>
        <w:t>u</w:t>
      </w:r>
      <w:r w:rsidR="00F67031">
        <w:rPr>
          <w:rFonts w:ascii="Times New Roman" w:hAnsi="Times New Roman" w:cs="Times New Roman"/>
          <w:sz w:val="24"/>
          <w:szCs w:val="24"/>
        </w:rPr>
        <w:t xml:space="preserve"> 64 i 65 </w:t>
      </w:r>
      <w:r>
        <w:rPr>
          <w:rFonts w:ascii="Times New Roman" w:hAnsi="Times New Roman" w:cs="Times New Roman"/>
          <w:sz w:val="24"/>
          <w:szCs w:val="24"/>
        </w:rPr>
        <w:t xml:space="preserve">čine manji dio ukupnih prihoda Centra </w:t>
      </w:r>
      <w:r w:rsidR="004B47B6">
        <w:rPr>
          <w:rFonts w:ascii="Times New Roman" w:hAnsi="Times New Roman" w:cs="Times New Roman"/>
          <w:sz w:val="24"/>
          <w:szCs w:val="24"/>
        </w:rPr>
        <w:t>a</w:t>
      </w:r>
      <w:r w:rsidR="00F67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odnose se na prih</w:t>
      </w:r>
      <w:r w:rsidR="00DF6DC5">
        <w:rPr>
          <w:rFonts w:ascii="Times New Roman" w:hAnsi="Times New Roman" w:cs="Times New Roman"/>
          <w:sz w:val="24"/>
          <w:szCs w:val="24"/>
        </w:rPr>
        <w:t>ode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776">
        <w:rPr>
          <w:rFonts w:ascii="Times New Roman" w:eastAsia="Calibri" w:hAnsi="Times New Roman" w:cs="Times New Roman"/>
          <w:sz w:val="24"/>
          <w:szCs w:val="24"/>
        </w:rPr>
        <w:t>prodaje ulaznica</w:t>
      </w:r>
      <w:r w:rsidRPr="001907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="00F67031" w:rsidRPr="0058331D">
        <w:rPr>
          <w:rFonts w:ascii="Times New Roman" w:hAnsi="Times New Roman" w:cs="Times New Roman"/>
          <w:sz w:val="24"/>
          <w:szCs w:val="24"/>
        </w:rPr>
        <w:t>iznajmljivanja opreme i prostora za održavanje predstava</w:t>
      </w:r>
      <w:r w:rsidR="004B47B6">
        <w:rPr>
          <w:rFonts w:ascii="Times New Roman" w:hAnsi="Times New Roman" w:cs="Times New Roman"/>
          <w:sz w:val="24"/>
          <w:szCs w:val="24"/>
        </w:rPr>
        <w:t>. U odnosu na prethodnu godinu navedeni prihodi povećani su 100,83%.</w:t>
      </w:r>
    </w:p>
    <w:p w14:paraId="5A9DB381" w14:textId="77777777" w:rsidR="002C57C0" w:rsidRPr="00190776" w:rsidRDefault="002C57C0" w:rsidP="004B47B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039831" w14:textId="186E2CE3" w:rsidR="00190776" w:rsidRDefault="008B164B" w:rsidP="00412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BCBA62" wp14:editId="45830BFE">
            <wp:extent cx="5306886" cy="2967355"/>
            <wp:effectExtent l="0" t="0" r="8255" b="4445"/>
            <wp:docPr id="296162029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6934BB5" w14:textId="53D03278" w:rsidR="002C57C0" w:rsidRPr="004126D7" w:rsidRDefault="002C57C0" w:rsidP="002C57C0">
      <w:pPr>
        <w:rPr>
          <w:rFonts w:ascii="Times New Roman" w:hAnsi="Times New Roman" w:cs="Times New Roman"/>
          <w:sz w:val="20"/>
          <w:szCs w:val="20"/>
        </w:rPr>
      </w:pPr>
      <w:r w:rsidRPr="004126D7">
        <w:rPr>
          <w:rFonts w:ascii="Times New Roman" w:hAnsi="Times New Roman" w:cs="Times New Roman"/>
          <w:sz w:val="20"/>
          <w:szCs w:val="20"/>
        </w:rPr>
        <w:t xml:space="preserve">Grafikon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4126D7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Rashod</w:t>
      </w:r>
      <w:r w:rsidRPr="004126D7">
        <w:rPr>
          <w:rFonts w:ascii="Times New Roman" w:hAnsi="Times New Roman" w:cs="Times New Roman"/>
          <w:sz w:val="20"/>
          <w:szCs w:val="20"/>
        </w:rPr>
        <w:t>i prema ekonomskoj klasifikaciji</w:t>
      </w:r>
    </w:p>
    <w:p w14:paraId="32A672EA" w14:textId="77777777" w:rsidR="002C57C0" w:rsidRDefault="002C57C0" w:rsidP="007B0B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3D3DE09" w14:textId="35E827FB" w:rsidR="00DB1AA3" w:rsidRDefault="008E1313" w:rsidP="00DB1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strukturi ukupno ostvarenih rashoda i izdataka zabilježeno je povećanje rashoda</w:t>
      </w:r>
      <w:r w:rsidR="005C0B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zaposlene</w:t>
      </w:r>
      <w:r w:rsidR="00DB1A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5C0B58">
        <w:rPr>
          <w:rFonts w:ascii="Times New Roman" w:eastAsia="Times New Roman" w:hAnsi="Times New Roman" w:cs="Times New Roman"/>
          <w:sz w:val="24"/>
          <w:szCs w:val="24"/>
          <w:lang w:eastAsia="hr-HR"/>
        </w:rPr>
        <w:t>materijalnih i financijskih rashoda</w:t>
      </w:r>
      <w:r w:rsidR="00DB1A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smanjenje rashoda za nabavu nefinancijske imovine.</w:t>
      </w:r>
      <w:r w:rsidR="005C0B58" w:rsidRPr="005C0B58">
        <w:rPr>
          <w:rFonts w:ascii="Times New Roman" w:hAnsi="Times New Roman" w:cs="Times New Roman"/>
          <w:sz w:val="24"/>
          <w:szCs w:val="24"/>
        </w:rPr>
        <w:t xml:space="preserve"> </w:t>
      </w:r>
      <w:r w:rsidR="005C0B58" w:rsidRPr="0058331D">
        <w:rPr>
          <w:rFonts w:ascii="Times New Roman" w:hAnsi="Times New Roman" w:cs="Times New Roman"/>
          <w:sz w:val="24"/>
          <w:szCs w:val="24"/>
        </w:rPr>
        <w:t xml:space="preserve">Rashodi za zaposlene na računu iskazani su u većem iznosu nego prethodne godine radi </w:t>
      </w:r>
      <w:r w:rsidR="005C0B58">
        <w:rPr>
          <w:rFonts w:ascii="Times New Roman" w:hAnsi="Times New Roman" w:cs="Times New Roman"/>
          <w:sz w:val="24"/>
          <w:szCs w:val="24"/>
        </w:rPr>
        <w:t xml:space="preserve">izmjene koeficijenata postojećih radnih mjesta </w:t>
      </w:r>
      <w:r w:rsidR="005C0B58" w:rsidRPr="0058331D">
        <w:rPr>
          <w:rFonts w:ascii="Times New Roman" w:hAnsi="Times New Roman" w:cs="Times New Roman"/>
          <w:sz w:val="24"/>
          <w:szCs w:val="24"/>
        </w:rPr>
        <w:t>zaposlenih u Centru za kulturu. Materijalni rashodi</w:t>
      </w:r>
      <w:r w:rsidR="005C0B58">
        <w:rPr>
          <w:rFonts w:ascii="Times New Roman" w:hAnsi="Times New Roman" w:cs="Times New Roman"/>
          <w:sz w:val="24"/>
          <w:szCs w:val="24"/>
        </w:rPr>
        <w:t xml:space="preserve">  povećani su većim dijelom zbog provedbe programa obnove Moslavačke tradicijske kuće u Gornjem </w:t>
      </w:r>
      <w:proofErr w:type="spellStart"/>
      <w:r w:rsidR="005C0B58">
        <w:rPr>
          <w:rFonts w:ascii="Times New Roman" w:hAnsi="Times New Roman" w:cs="Times New Roman"/>
          <w:sz w:val="24"/>
          <w:szCs w:val="24"/>
        </w:rPr>
        <w:t>Mikloušu</w:t>
      </w:r>
      <w:proofErr w:type="spellEnd"/>
      <w:r w:rsidR="005C0B58">
        <w:rPr>
          <w:rFonts w:ascii="Times New Roman" w:hAnsi="Times New Roman" w:cs="Times New Roman"/>
          <w:sz w:val="24"/>
          <w:szCs w:val="24"/>
        </w:rPr>
        <w:t xml:space="preserve"> a financijski rashodi povećani su sukladno mjesečnim računima banke za usluge platnog prometa.</w:t>
      </w:r>
    </w:p>
    <w:p w14:paraId="51878F60" w14:textId="155FB76A" w:rsidR="001A7ECF" w:rsidRPr="004E5B60" w:rsidRDefault="00F771DA" w:rsidP="004E5B6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nefinancijsku imovinu smanjeni su u ovom izvještajnom razdoblju budući da je prethodne godine </w:t>
      </w:r>
      <w:r w:rsidR="00DB1AA3">
        <w:rPr>
          <w:rFonts w:ascii="Times New Roman" w:hAnsi="Times New Roman" w:cs="Times New Roman"/>
          <w:sz w:val="24"/>
          <w:szCs w:val="24"/>
        </w:rPr>
        <w:t>provedeno</w:t>
      </w:r>
      <w:r w:rsidR="00DB1AA3" w:rsidRPr="0058331D">
        <w:rPr>
          <w:rFonts w:ascii="Times New Roman" w:hAnsi="Times New Roman" w:cs="Times New Roman"/>
          <w:sz w:val="24"/>
          <w:szCs w:val="24"/>
        </w:rPr>
        <w:t xml:space="preserve"> dodatno ulaganj</w:t>
      </w:r>
      <w:r w:rsidR="00DB1AA3">
        <w:rPr>
          <w:rFonts w:ascii="Times New Roman" w:hAnsi="Times New Roman" w:cs="Times New Roman"/>
          <w:sz w:val="24"/>
          <w:szCs w:val="24"/>
        </w:rPr>
        <w:t>e</w:t>
      </w:r>
      <w:r w:rsidR="00DB1AA3" w:rsidRPr="0058331D">
        <w:rPr>
          <w:rFonts w:ascii="Times New Roman" w:hAnsi="Times New Roman" w:cs="Times New Roman"/>
          <w:sz w:val="24"/>
          <w:szCs w:val="24"/>
        </w:rPr>
        <w:t xml:space="preserve"> u zgradu muzeja kroz</w:t>
      </w:r>
      <w:r w:rsidR="00DB1AA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73223974"/>
      <w:r w:rsidR="00DB1AA3" w:rsidRPr="0058331D">
        <w:rPr>
          <w:rFonts w:ascii="Times New Roman" w:eastAsia="Calibri" w:hAnsi="Times New Roman" w:cs="Times New Roman"/>
          <w:bCs/>
          <w:sz w:val="24"/>
          <w:szCs w:val="24"/>
        </w:rPr>
        <w:t xml:space="preserve">bespovratna sredstva Fonda solidarnosti EU </w:t>
      </w:r>
      <w:bookmarkEnd w:id="2"/>
      <w:r w:rsidR="00DB1AA3" w:rsidRPr="0058331D">
        <w:rPr>
          <w:rFonts w:ascii="Times New Roman" w:eastAsia="Calibri" w:hAnsi="Times New Roman" w:cs="Times New Roman"/>
          <w:bCs/>
          <w:sz w:val="24"/>
          <w:szCs w:val="24"/>
        </w:rPr>
        <w:t>za obnovu objekata baštine oštećenih u potresu 2020. godine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U ovom izvještajnom razdoblju iznos na računu 4 </w:t>
      </w:r>
      <w:r w:rsidR="005C0B58">
        <w:rPr>
          <w:rFonts w:ascii="Times New Roman" w:hAnsi="Times New Roman" w:cs="Times New Roman"/>
          <w:sz w:val="24"/>
          <w:szCs w:val="24"/>
        </w:rPr>
        <w:t>podrazumijeva nabavu klima uređaja i printera te knjiga i izložaka za muzejske zbirke.</w:t>
      </w:r>
    </w:p>
    <w:p w14:paraId="48254F15" w14:textId="77777777" w:rsidR="001A7ECF" w:rsidRDefault="001A7ECF" w:rsidP="004126D7">
      <w:pPr>
        <w:rPr>
          <w:rFonts w:ascii="Times New Roman" w:hAnsi="Times New Roman" w:cs="Times New Roman"/>
          <w:sz w:val="24"/>
          <w:szCs w:val="24"/>
        </w:rPr>
      </w:pPr>
    </w:p>
    <w:p w14:paraId="0872438A" w14:textId="5FCB8598" w:rsidR="001A7ECF" w:rsidRDefault="001A7ECF" w:rsidP="001A7EC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46D79">
        <w:rPr>
          <w:rFonts w:ascii="Times New Roman" w:hAnsi="Times New Roman" w:cs="Times New Roman"/>
          <w:i/>
          <w:iCs/>
          <w:sz w:val="24"/>
          <w:szCs w:val="24"/>
        </w:rPr>
        <w:t xml:space="preserve">Izvještaj o prihodima i rashodima prema </w:t>
      </w:r>
      <w:r>
        <w:rPr>
          <w:rFonts w:ascii="Times New Roman" w:hAnsi="Times New Roman" w:cs="Times New Roman"/>
          <w:i/>
          <w:iCs/>
          <w:sz w:val="24"/>
          <w:szCs w:val="24"/>
        </w:rPr>
        <w:t>izvorima financiranja</w:t>
      </w:r>
    </w:p>
    <w:p w14:paraId="758F47D9" w14:textId="77777777" w:rsidR="001A7ECF" w:rsidRDefault="001A7ECF" w:rsidP="001A7EC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ED2D5BC" w14:textId="72A7FDEA" w:rsidR="001A7ECF" w:rsidRDefault="001A7ECF" w:rsidP="001A7EC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31C4ED8C" wp14:editId="7067A3FB">
            <wp:extent cx="5468587" cy="2897579"/>
            <wp:effectExtent l="0" t="0" r="18415" b="17145"/>
            <wp:docPr id="1022692193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D5CB401" w14:textId="4DC0B69F" w:rsidR="001A7ECF" w:rsidRDefault="00D63759" w:rsidP="004126D7">
      <w:pPr>
        <w:rPr>
          <w:rFonts w:ascii="Times New Roman" w:hAnsi="Times New Roman" w:cs="Times New Roman"/>
          <w:sz w:val="20"/>
          <w:szCs w:val="20"/>
        </w:rPr>
      </w:pPr>
      <w:r w:rsidRPr="00D63759">
        <w:rPr>
          <w:rFonts w:ascii="Times New Roman" w:hAnsi="Times New Roman" w:cs="Times New Roman"/>
          <w:sz w:val="20"/>
          <w:szCs w:val="20"/>
        </w:rPr>
        <w:t xml:space="preserve">Grafikon </w:t>
      </w:r>
      <w:r w:rsidR="007A7064">
        <w:rPr>
          <w:rFonts w:ascii="Times New Roman" w:hAnsi="Times New Roman" w:cs="Times New Roman"/>
          <w:sz w:val="20"/>
          <w:szCs w:val="20"/>
        </w:rPr>
        <w:t>4</w:t>
      </w:r>
      <w:r w:rsidRPr="00D63759">
        <w:rPr>
          <w:rFonts w:ascii="Times New Roman" w:hAnsi="Times New Roman" w:cs="Times New Roman"/>
          <w:sz w:val="20"/>
          <w:szCs w:val="20"/>
        </w:rPr>
        <w:t>. Prihodi prema izvoru financiranja</w:t>
      </w:r>
    </w:p>
    <w:p w14:paraId="394589BB" w14:textId="77777777" w:rsidR="00D63759" w:rsidRDefault="00D63759" w:rsidP="00D63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A7B4D" w14:textId="5A2FA206" w:rsidR="001473E4" w:rsidRDefault="00D63759" w:rsidP="00FE14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59">
        <w:rPr>
          <w:rFonts w:ascii="Times New Roman" w:hAnsi="Times New Roman" w:cs="Times New Roman"/>
          <w:sz w:val="24"/>
          <w:szCs w:val="24"/>
        </w:rPr>
        <w:t xml:space="preserve">Grafikon </w:t>
      </w:r>
      <w:r w:rsidR="007A7064">
        <w:rPr>
          <w:rFonts w:ascii="Times New Roman" w:hAnsi="Times New Roman" w:cs="Times New Roman"/>
          <w:sz w:val="24"/>
          <w:szCs w:val="24"/>
        </w:rPr>
        <w:t>4</w:t>
      </w:r>
      <w:r w:rsidRPr="00D63759">
        <w:rPr>
          <w:rFonts w:ascii="Times New Roman" w:hAnsi="Times New Roman" w:cs="Times New Roman"/>
          <w:sz w:val="24"/>
          <w:szCs w:val="24"/>
        </w:rPr>
        <w:t xml:space="preserve"> prikazuje ukupne prihode po izvorima financiranja iz koj</w:t>
      </w:r>
      <w:r>
        <w:rPr>
          <w:rFonts w:ascii="Times New Roman" w:hAnsi="Times New Roman" w:cs="Times New Roman"/>
          <w:sz w:val="24"/>
          <w:szCs w:val="24"/>
        </w:rPr>
        <w:t>eg</w:t>
      </w:r>
      <w:r w:rsidRPr="00D63759">
        <w:rPr>
          <w:rFonts w:ascii="Times New Roman" w:hAnsi="Times New Roman" w:cs="Times New Roman"/>
          <w:sz w:val="24"/>
          <w:szCs w:val="24"/>
        </w:rPr>
        <w:t xml:space="preserve"> je vidljivo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41782089"/>
      <w:r w:rsidR="00FE143F">
        <w:rPr>
          <w:rFonts w:ascii="Times New Roman" w:hAnsi="Times New Roman" w:cs="Times New Roman"/>
          <w:sz w:val="24"/>
          <w:szCs w:val="24"/>
        </w:rPr>
        <w:t xml:space="preserve">Centar u ovom izvještajnom razdoblju </w:t>
      </w:r>
      <w:r w:rsidRPr="00D63759">
        <w:rPr>
          <w:rFonts w:ascii="Times New Roman" w:hAnsi="Times New Roman" w:cs="Times New Roman"/>
          <w:sz w:val="24"/>
          <w:szCs w:val="24"/>
        </w:rPr>
        <w:t>najviše prihoda ostvar</w:t>
      </w:r>
      <w:r>
        <w:rPr>
          <w:rFonts w:ascii="Times New Roman" w:hAnsi="Times New Roman" w:cs="Times New Roman"/>
          <w:sz w:val="24"/>
          <w:szCs w:val="24"/>
        </w:rPr>
        <w:t>uje</w:t>
      </w:r>
      <w:r w:rsidRPr="00D63759">
        <w:rPr>
          <w:rFonts w:ascii="Times New Roman" w:hAnsi="Times New Roman" w:cs="Times New Roman"/>
          <w:sz w:val="24"/>
          <w:szCs w:val="24"/>
        </w:rPr>
        <w:t xml:space="preserve"> iz </w:t>
      </w:r>
      <w:r w:rsidR="00FE143F">
        <w:rPr>
          <w:rFonts w:ascii="Times New Roman" w:hAnsi="Times New Roman" w:cs="Times New Roman"/>
          <w:sz w:val="24"/>
          <w:szCs w:val="24"/>
        </w:rPr>
        <w:t xml:space="preserve">izvora 1.1 </w:t>
      </w:r>
      <w:r w:rsidRPr="00D63759">
        <w:rPr>
          <w:rFonts w:ascii="Times New Roman" w:hAnsi="Times New Roman" w:cs="Times New Roman"/>
          <w:sz w:val="24"/>
          <w:szCs w:val="24"/>
        </w:rPr>
        <w:t>Opći prihodi i primici</w:t>
      </w:r>
      <w:bookmarkEnd w:id="3"/>
      <w:r w:rsidR="00FE1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dok je prethodne godine najznačajniji dio prihoda ostvaren kroz izvor 5.2 Pomoći iz EU. </w:t>
      </w:r>
      <w:r w:rsidR="007A7064">
        <w:rPr>
          <w:rFonts w:ascii="Times New Roman" w:eastAsia="Times New Roman" w:hAnsi="Times New Roman" w:cs="Times New Roman"/>
          <w:sz w:val="24"/>
          <w:szCs w:val="24"/>
          <w:lang w:eastAsia="hr-HR"/>
        </w:rPr>
        <w:t>Kao što je već navedeno prihodi iz izvora 5.</w:t>
      </w:r>
      <w:r w:rsidR="00FE143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7A70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E143F">
        <w:rPr>
          <w:rFonts w:ascii="Times New Roman" w:eastAsia="Times New Roman" w:hAnsi="Times New Roman" w:cs="Times New Roman"/>
          <w:sz w:val="24"/>
          <w:szCs w:val="24"/>
          <w:lang w:eastAsia="hr-HR"/>
        </w:rPr>
        <w:t>smanjeni su zbog</w:t>
      </w:r>
      <w:r w:rsidR="007A70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473E4">
        <w:rPr>
          <w:rFonts w:ascii="Times New Roman" w:eastAsia="Times New Roman" w:hAnsi="Times New Roman" w:cs="Times New Roman"/>
          <w:sz w:val="24"/>
          <w:szCs w:val="24"/>
          <w:lang w:eastAsia="hr-HR"/>
        </w:rPr>
        <w:t>ostvarenih</w:t>
      </w:r>
      <w:r w:rsidR="007A7064">
        <w:rPr>
          <w:rFonts w:ascii="Times New Roman" w:hAnsi="Times New Roman" w:cs="Times New Roman"/>
          <w:sz w:val="24"/>
          <w:szCs w:val="24"/>
        </w:rPr>
        <w:t xml:space="preserve"> </w:t>
      </w:r>
      <w:r w:rsidR="001473E4" w:rsidRPr="0058331D">
        <w:rPr>
          <w:rFonts w:ascii="Times New Roman" w:eastAsia="Calibri" w:hAnsi="Times New Roman" w:cs="Times New Roman"/>
          <w:bCs/>
          <w:sz w:val="24"/>
          <w:szCs w:val="24"/>
        </w:rPr>
        <w:t>bespovratn</w:t>
      </w:r>
      <w:r w:rsidR="001473E4">
        <w:rPr>
          <w:rFonts w:ascii="Times New Roman" w:eastAsia="Calibri" w:hAnsi="Times New Roman" w:cs="Times New Roman"/>
          <w:bCs/>
          <w:sz w:val="24"/>
          <w:szCs w:val="24"/>
        </w:rPr>
        <w:t>ih</w:t>
      </w:r>
      <w:r w:rsidR="001473E4" w:rsidRPr="0058331D">
        <w:rPr>
          <w:rFonts w:ascii="Times New Roman" w:eastAsia="Calibri" w:hAnsi="Times New Roman" w:cs="Times New Roman"/>
          <w:bCs/>
          <w:sz w:val="24"/>
          <w:szCs w:val="24"/>
        </w:rPr>
        <w:t xml:space="preserve"> sredst</w:t>
      </w:r>
      <w:r w:rsidR="001473E4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1473E4" w:rsidRPr="0058331D">
        <w:rPr>
          <w:rFonts w:ascii="Times New Roman" w:eastAsia="Calibri" w:hAnsi="Times New Roman" w:cs="Times New Roman"/>
          <w:bCs/>
          <w:sz w:val="24"/>
          <w:szCs w:val="24"/>
        </w:rPr>
        <w:t>va Fonda solidarnosti EU</w:t>
      </w:r>
      <w:r w:rsidR="001473E4">
        <w:rPr>
          <w:rFonts w:ascii="Times New Roman" w:eastAsia="Calibri" w:hAnsi="Times New Roman" w:cs="Times New Roman"/>
          <w:bCs/>
          <w:sz w:val="24"/>
          <w:szCs w:val="24"/>
        </w:rPr>
        <w:t xml:space="preserve"> prethodne godine.</w:t>
      </w:r>
    </w:p>
    <w:p w14:paraId="3B368157" w14:textId="3D610F5A" w:rsidR="001473E4" w:rsidRPr="00DF3236" w:rsidRDefault="007A7064" w:rsidP="00FE14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Vlastiti prihodi porasli su </w:t>
      </w:r>
      <w:r w:rsidR="00F15DE4">
        <w:rPr>
          <w:rFonts w:ascii="Times New Roman" w:hAnsi="Times New Roman" w:cs="Times New Roman"/>
          <w:sz w:val="24"/>
          <w:szCs w:val="24"/>
        </w:rPr>
        <w:t xml:space="preserve">u odnosu na izvršenje prethodne godine </w:t>
      </w:r>
      <w:r w:rsidR="001473E4">
        <w:rPr>
          <w:rFonts w:ascii="Times New Roman" w:hAnsi="Times New Roman" w:cs="Times New Roman"/>
          <w:sz w:val="24"/>
          <w:szCs w:val="24"/>
        </w:rPr>
        <w:t xml:space="preserve">za 92,47% </w:t>
      </w:r>
      <w:r w:rsidR="00F15DE4">
        <w:rPr>
          <w:rFonts w:ascii="Times New Roman" w:hAnsi="Times New Roman" w:cs="Times New Roman"/>
          <w:sz w:val="24"/>
          <w:szCs w:val="24"/>
        </w:rPr>
        <w:t xml:space="preserve">i ostvareni su </w:t>
      </w:r>
      <w:r w:rsidR="001473E4">
        <w:rPr>
          <w:rFonts w:ascii="Times New Roman" w:hAnsi="Times New Roman" w:cs="Times New Roman"/>
          <w:sz w:val="24"/>
          <w:szCs w:val="24"/>
        </w:rPr>
        <w:t>79,84</w:t>
      </w:r>
      <w:r w:rsidR="00F15DE4">
        <w:rPr>
          <w:rFonts w:ascii="Times New Roman" w:hAnsi="Times New Roman" w:cs="Times New Roman"/>
          <w:sz w:val="24"/>
          <w:szCs w:val="24"/>
        </w:rPr>
        <w:t xml:space="preserve">% planiranih prihoda. Do povećanja vlastitih prihoda dolazi zbog </w:t>
      </w:r>
      <w:r>
        <w:rPr>
          <w:rFonts w:ascii="Times New Roman" w:hAnsi="Times New Roman" w:cs="Times New Roman"/>
          <w:sz w:val="24"/>
          <w:szCs w:val="24"/>
        </w:rPr>
        <w:t xml:space="preserve">veće prodaje ulaznica </w:t>
      </w:r>
      <w:r w:rsidR="00F15DE4">
        <w:rPr>
          <w:rFonts w:ascii="Times New Roman" w:hAnsi="Times New Roman" w:cs="Times New Roman"/>
          <w:sz w:val="24"/>
          <w:szCs w:val="24"/>
        </w:rPr>
        <w:t xml:space="preserve">i češćeg </w:t>
      </w:r>
      <w:r>
        <w:rPr>
          <w:rFonts w:ascii="Times New Roman" w:hAnsi="Times New Roman" w:cs="Times New Roman"/>
          <w:sz w:val="24"/>
          <w:szCs w:val="24"/>
        </w:rPr>
        <w:t>iznajmljivanja opreme i prostora za održavanje predstava</w:t>
      </w:r>
      <w:r w:rsidR="00F15DE4">
        <w:rPr>
          <w:rFonts w:ascii="Times New Roman" w:hAnsi="Times New Roman" w:cs="Times New Roman"/>
          <w:sz w:val="24"/>
          <w:szCs w:val="24"/>
        </w:rPr>
        <w:t>.</w:t>
      </w:r>
    </w:p>
    <w:p w14:paraId="6E1D35DA" w14:textId="654F7995" w:rsidR="001473E4" w:rsidRDefault="001473E4" w:rsidP="005B08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izvora 5.1 Pomoći povećani su za 4,99% a ostvareni su </w:t>
      </w:r>
      <w:r w:rsidR="00DF32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kroz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ugovor</w:t>
      </w:r>
      <w:r w:rsidR="00DF3236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F32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</w:t>
      </w:r>
      <w:r w:rsidR="00DF3236" w:rsidRPr="0058331D">
        <w:rPr>
          <w:rFonts w:ascii="Times New Roman" w:hAnsi="Times New Roman" w:cs="Times New Roman"/>
          <w:sz w:val="24"/>
          <w:szCs w:val="24"/>
        </w:rPr>
        <w:t>Bjelovarsko-bilogors</w:t>
      </w:r>
      <w:r w:rsidR="00DF3236">
        <w:rPr>
          <w:rFonts w:ascii="Times New Roman" w:hAnsi="Times New Roman" w:cs="Times New Roman"/>
          <w:sz w:val="24"/>
          <w:szCs w:val="24"/>
        </w:rPr>
        <w:t>kom</w:t>
      </w:r>
      <w:r w:rsidR="00DF3236" w:rsidRPr="0058331D">
        <w:rPr>
          <w:rFonts w:ascii="Times New Roman" w:hAnsi="Times New Roman" w:cs="Times New Roman"/>
          <w:sz w:val="24"/>
          <w:szCs w:val="24"/>
        </w:rPr>
        <w:t xml:space="preserve"> županij</w:t>
      </w:r>
      <w:r w:rsidR="00DF3236">
        <w:rPr>
          <w:rFonts w:ascii="Times New Roman" w:hAnsi="Times New Roman" w:cs="Times New Roman"/>
          <w:sz w:val="24"/>
          <w:szCs w:val="24"/>
        </w:rPr>
        <w:t>om</w:t>
      </w:r>
      <w:r w:rsidR="00DF3236" w:rsidRPr="0058331D">
        <w:rPr>
          <w:rFonts w:ascii="Times New Roman" w:hAnsi="Times New Roman" w:cs="Times New Roman"/>
          <w:sz w:val="24"/>
          <w:szCs w:val="24"/>
        </w:rPr>
        <w:t xml:space="preserve"> te Ministarstv</w:t>
      </w:r>
      <w:r w:rsidR="00DF3236">
        <w:rPr>
          <w:rFonts w:ascii="Times New Roman" w:hAnsi="Times New Roman" w:cs="Times New Roman"/>
          <w:sz w:val="24"/>
          <w:szCs w:val="24"/>
        </w:rPr>
        <w:t>om</w:t>
      </w:r>
      <w:r w:rsidR="00DF3236" w:rsidRPr="0058331D">
        <w:rPr>
          <w:rFonts w:ascii="Times New Roman" w:hAnsi="Times New Roman" w:cs="Times New Roman"/>
          <w:sz w:val="24"/>
          <w:szCs w:val="24"/>
        </w:rPr>
        <w:t xml:space="preserve"> kulture i medija Republike Hrvatske</w:t>
      </w:r>
      <w:r w:rsidR="00DF3236">
        <w:rPr>
          <w:rFonts w:ascii="Times New Roman" w:hAnsi="Times New Roman" w:cs="Times New Roman"/>
          <w:sz w:val="24"/>
          <w:szCs w:val="24"/>
        </w:rPr>
        <w:t xml:space="preserve"> namijenjeni  realizaciji programa.</w:t>
      </w:r>
    </w:p>
    <w:p w14:paraId="525B746B" w14:textId="77777777" w:rsidR="001473E4" w:rsidRDefault="001473E4" w:rsidP="005B08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D9E7A4" w14:textId="72EF7026" w:rsidR="00DF3236" w:rsidRPr="0058331D" w:rsidRDefault="00DF3236" w:rsidP="00DF32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od donacija smanjeni su u odnosu na prethodno razdoblje te su ostvareni 19,70% financijskog plana. Iznosi svake godine variraju budući da se ostvaruju kroz donacije muzejskih</w:t>
      </w:r>
      <w:r w:rsidRPr="005833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izložaka za zbirke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</w:t>
      </w:r>
      <w:r w:rsidRPr="0058331D">
        <w:rPr>
          <w:rFonts w:ascii="Times New Roman" w:eastAsia="Times New Roman" w:hAnsi="Times New Roman" w:cs="Times New Roman"/>
          <w:sz w:val="24"/>
          <w:szCs w:val="24"/>
          <w:lang w:eastAsia="hr-HR"/>
        </w:rPr>
        <w:t>od strane fizičkih osoba i neprofitnih organizacija.</w:t>
      </w:r>
    </w:p>
    <w:p w14:paraId="6AE5ADAC" w14:textId="77777777" w:rsidR="001473E4" w:rsidRDefault="001473E4" w:rsidP="005B08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40B91F" w14:textId="77777777" w:rsidR="001473E4" w:rsidRDefault="001473E4" w:rsidP="005B08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CBE535" w14:textId="77777777" w:rsidR="001473E4" w:rsidRPr="00D63759" w:rsidRDefault="001473E4" w:rsidP="005B08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3406CE" w14:textId="5946A1CF" w:rsidR="00D63759" w:rsidRDefault="00563992" w:rsidP="00412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drawing>
          <wp:inline distT="0" distB="0" distL="0" distR="0" wp14:anchorId="05BA6B2D" wp14:editId="6D852B91">
            <wp:extent cx="5731510" cy="3194737"/>
            <wp:effectExtent l="0" t="0" r="2540" b="5715"/>
            <wp:docPr id="105734116" name="Grafikon 1057341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4E11406" w14:textId="3487FEA4" w:rsidR="00A37E36" w:rsidRDefault="00A37E36" w:rsidP="004126D7">
      <w:pPr>
        <w:rPr>
          <w:rFonts w:ascii="Times New Roman" w:hAnsi="Times New Roman" w:cs="Times New Roman"/>
          <w:sz w:val="20"/>
          <w:szCs w:val="20"/>
        </w:rPr>
      </w:pPr>
      <w:r w:rsidRPr="00A37E36">
        <w:rPr>
          <w:rFonts w:ascii="Times New Roman" w:hAnsi="Times New Roman" w:cs="Times New Roman"/>
          <w:sz w:val="20"/>
          <w:szCs w:val="20"/>
        </w:rPr>
        <w:t xml:space="preserve">Grafikon </w:t>
      </w:r>
      <w:r w:rsidR="007A7064">
        <w:rPr>
          <w:rFonts w:ascii="Times New Roman" w:hAnsi="Times New Roman" w:cs="Times New Roman"/>
          <w:sz w:val="20"/>
          <w:szCs w:val="20"/>
        </w:rPr>
        <w:t>5</w:t>
      </w:r>
      <w:r w:rsidRPr="00A37E36">
        <w:rPr>
          <w:rFonts w:ascii="Times New Roman" w:hAnsi="Times New Roman" w:cs="Times New Roman"/>
          <w:sz w:val="20"/>
          <w:szCs w:val="20"/>
        </w:rPr>
        <w:t>. Rashodi prema izvorima financiranja</w:t>
      </w:r>
    </w:p>
    <w:p w14:paraId="7F84969F" w14:textId="77777777" w:rsidR="00A37E36" w:rsidRDefault="00A37E36" w:rsidP="004126D7">
      <w:pPr>
        <w:rPr>
          <w:rFonts w:ascii="Times New Roman" w:hAnsi="Times New Roman" w:cs="Times New Roman"/>
          <w:sz w:val="20"/>
          <w:szCs w:val="20"/>
        </w:rPr>
      </w:pPr>
    </w:p>
    <w:p w14:paraId="0CDFFE1C" w14:textId="140C1987" w:rsidR="00E47D90" w:rsidRDefault="00A37E36" w:rsidP="004E5B60">
      <w:pPr>
        <w:rPr>
          <w:rFonts w:ascii="Times New Roman" w:hAnsi="Times New Roman" w:cs="Times New Roman"/>
          <w:sz w:val="24"/>
          <w:szCs w:val="24"/>
        </w:rPr>
      </w:pPr>
      <w:r w:rsidRPr="00657A7E">
        <w:rPr>
          <w:rFonts w:ascii="Times New Roman" w:hAnsi="Times New Roman" w:cs="Times New Roman"/>
          <w:sz w:val="24"/>
          <w:szCs w:val="24"/>
        </w:rPr>
        <w:t xml:space="preserve">Grafikon </w:t>
      </w:r>
      <w:r w:rsidR="007A7064">
        <w:rPr>
          <w:rFonts w:ascii="Times New Roman" w:hAnsi="Times New Roman" w:cs="Times New Roman"/>
          <w:sz w:val="24"/>
          <w:szCs w:val="24"/>
        </w:rPr>
        <w:t>5</w:t>
      </w:r>
      <w:r w:rsidRPr="00657A7E">
        <w:rPr>
          <w:rFonts w:ascii="Times New Roman" w:hAnsi="Times New Roman" w:cs="Times New Roman"/>
          <w:sz w:val="24"/>
          <w:szCs w:val="24"/>
        </w:rPr>
        <w:t xml:space="preserve"> prikazuje rashode po izvorima financiranja koji</w:t>
      </w:r>
      <w:r w:rsidR="00976EA0">
        <w:rPr>
          <w:rFonts w:ascii="Times New Roman" w:hAnsi="Times New Roman" w:cs="Times New Roman"/>
          <w:sz w:val="24"/>
          <w:szCs w:val="24"/>
        </w:rPr>
        <w:t xml:space="preserve"> su razmjerno raspoređeni sukladno ostvarenim prihodima iz istih izvora.</w:t>
      </w:r>
      <w:r w:rsidRPr="00657A7E">
        <w:rPr>
          <w:rFonts w:ascii="Times New Roman" w:hAnsi="Times New Roman" w:cs="Times New Roman"/>
          <w:sz w:val="24"/>
          <w:szCs w:val="24"/>
        </w:rPr>
        <w:t xml:space="preserve"> </w:t>
      </w:r>
      <w:r w:rsidR="00976EA0">
        <w:rPr>
          <w:rFonts w:ascii="Times New Roman" w:hAnsi="Times New Roman" w:cs="Times New Roman"/>
          <w:sz w:val="24"/>
          <w:szCs w:val="24"/>
        </w:rPr>
        <w:t>Razlike u odnosu na prethodno razdoblje objašnjene su kroz Grafikon 4 Prihodi po izvorima financiranja, budući da se prihodi i rashodi vežu po izvorima iste kategorije.</w:t>
      </w:r>
    </w:p>
    <w:p w14:paraId="2F371645" w14:textId="77777777" w:rsidR="004E5B60" w:rsidRDefault="004E5B60" w:rsidP="00C759E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092D548" w14:textId="2F3C167A" w:rsidR="00C759E2" w:rsidRDefault="00C759E2" w:rsidP="00C759E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financiranja</w:t>
      </w:r>
    </w:p>
    <w:p w14:paraId="6C0CE333" w14:textId="77777777" w:rsidR="00C759E2" w:rsidRDefault="00C759E2" w:rsidP="00C759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Centar u izvještajnom razdoblju nije ostvario prihode od financijske imovine i zaduživanja kao i izdatke za financijsku imovinu i otplate zajmova.</w:t>
      </w:r>
    </w:p>
    <w:p w14:paraId="15D3BCAB" w14:textId="77777777" w:rsidR="00C759E2" w:rsidRDefault="00C759E2" w:rsidP="004126D7">
      <w:pPr>
        <w:rPr>
          <w:rFonts w:ascii="Times New Roman" w:hAnsi="Times New Roman" w:cs="Times New Roman"/>
          <w:sz w:val="24"/>
          <w:szCs w:val="24"/>
        </w:rPr>
      </w:pPr>
    </w:p>
    <w:p w14:paraId="535E3257" w14:textId="31DDDF7C" w:rsidR="00EA63C1" w:rsidRDefault="00EA63C1" w:rsidP="003369F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57A7E">
        <w:rPr>
          <w:rFonts w:ascii="Times New Roman" w:hAnsi="Times New Roman" w:cs="Times New Roman"/>
          <w:i/>
          <w:iCs/>
          <w:sz w:val="24"/>
          <w:szCs w:val="24"/>
        </w:rPr>
        <w:t>Izvještaj o rashodima prema funkcijskoj klasifikaciji</w:t>
      </w:r>
    </w:p>
    <w:p w14:paraId="76A7F8EB" w14:textId="77777777" w:rsidR="003369F9" w:rsidRPr="00657A7E" w:rsidRDefault="003369F9" w:rsidP="003369F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70BC60F" w14:textId="1AC7AAF3" w:rsidR="00ED0665" w:rsidRDefault="00EA63C1" w:rsidP="00D0357E">
      <w:pPr>
        <w:jc w:val="both"/>
        <w:rPr>
          <w:rFonts w:ascii="Times New Roman" w:hAnsi="Times New Roman" w:cs="Times New Roman"/>
          <w:sz w:val="24"/>
          <w:szCs w:val="24"/>
        </w:rPr>
      </w:pPr>
      <w:r w:rsidRPr="00657A7E">
        <w:rPr>
          <w:rFonts w:ascii="Times New Roman" w:hAnsi="Times New Roman" w:cs="Times New Roman"/>
          <w:sz w:val="24"/>
          <w:szCs w:val="24"/>
        </w:rPr>
        <w:t>Rashod</w:t>
      </w:r>
      <w:r w:rsidR="00AB53E6" w:rsidRPr="00657A7E">
        <w:rPr>
          <w:rFonts w:ascii="Times New Roman" w:hAnsi="Times New Roman" w:cs="Times New Roman"/>
          <w:sz w:val="24"/>
          <w:szCs w:val="24"/>
        </w:rPr>
        <w:t>e</w:t>
      </w:r>
      <w:r w:rsidRPr="00657A7E">
        <w:rPr>
          <w:rFonts w:ascii="Times New Roman" w:hAnsi="Times New Roman" w:cs="Times New Roman"/>
          <w:sz w:val="24"/>
          <w:szCs w:val="24"/>
        </w:rPr>
        <w:t xml:space="preserve"> prema funkcijskoj klasifikaciji či</w:t>
      </w:r>
      <w:r w:rsidR="009978B6">
        <w:rPr>
          <w:rFonts w:ascii="Times New Roman" w:hAnsi="Times New Roman" w:cs="Times New Roman"/>
          <w:sz w:val="24"/>
          <w:szCs w:val="24"/>
        </w:rPr>
        <w:t>ni</w:t>
      </w:r>
      <w:r w:rsidRPr="00657A7E">
        <w:rPr>
          <w:rFonts w:ascii="Times New Roman" w:hAnsi="Times New Roman" w:cs="Times New Roman"/>
          <w:sz w:val="24"/>
          <w:szCs w:val="24"/>
        </w:rPr>
        <w:t xml:space="preserve"> 0</w:t>
      </w:r>
      <w:r w:rsidR="009978B6">
        <w:rPr>
          <w:rFonts w:ascii="Times New Roman" w:hAnsi="Times New Roman" w:cs="Times New Roman"/>
          <w:sz w:val="24"/>
          <w:szCs w:val="24"/>
        </w:rPr>
        <w:t>82</w:t>
      </w:r>
      <w:r w:rsidRPr="00657A7E">
        <w:rPr>
          <w:rFonts w:ascii="Times New Roman" w:hAnsi="Times New Roman" w:cs="Times New Roman"/>
          <w:sz w:val="24"/>
          <w:szCs w:val="24"/>
        </w:rPr>
        <w:t xml:space="preserve"> </w:t>
      </w:r>
      <w:r w:rsidR="009978B6">
        <w:rPr>
          <w:rFonts w:ascii="Times New Roman" w:hAnsi="Times New Roman" w:cs="Times New Roman"/>
          <w:sz w:val="24"/>
          <w:szCs w:val="24"/>
        </w:rPr>
        <w:t>Služba kulture</w:t>
      </w:r>
      <w:r w:rsidRPr="00657A7E">
        <w:rPr>
          <w:rFonts w:ascii="Times New Roman" w:hAnsi="Times New Roman" w:cs="Times New Roman"/>
          <w:sz w:val="24"/>
          <w:szCs w:val="24"/>
        </w:rPr>
        <w:t>.</w:t>
      </w:r>
      <w:r w:rsidR="00ED0665">
        <w:rPr>
          <w:rFonts w:ascii="Times New Roman" w:hAnsi="Times New Roman" w:cs="Times New Roman"/>
          <w:sz w:val="24"/>
          <w:szCs w:val="24"/>
        </w:rPr>
        <w:t xml:space="preserve"> U izvještajnom razdoblju rashodi iznose 89.231,91 euro te su smanjeni u odnosu na prethodnu godinu a </w:t>
      </w:r>
      <w:r w:rsidR="00AB53E6" w:rsidRPr="00657A7E">
        <w:rPr>
          <w:rFonts w:ascii="Times New Roman" w:hAnsi="Times New Roman" w:cs="Times New Roman"/>
          <w:sz w:val="24"/>
          <w:szCs w:val="24"/>
        </w:rPr>
        <w:t>ostvaren</w:t>
      </w:r>
      <w:r w:rsidR="009978B6">
        <w:rPr>
          <w:rFonts w:ascii="Times New Roman" w:hAnsi="Times New Roman" w:cs="Times New Roman"/>
          <w:sz w:val="24"/>
          <w:szCs w:val="24"/>
        </w:rPr>
        <w:t>i</w:t>
      </w:r>
      <w:r w:rsidR="00AB53E6" w:rsidRPr="00657A7E">
        <w:rPr>
          <w:rFonts w:ascii="Times New Roman" w:hAnsi="Times New Roman" w:cs="Times New Roman"/>
          <w:sz w:val="24"/>
          <w:szCs w:val="24"/>
        </w:rPr>
        <w:t xml:space="preserve"> </w:t>
      </w:r>
      <w:r w:rsidR="00ED0665">
        <w:rPr>
          <w:rFonts w:ascii="Times New Roman" w:hAnsi="Times New Roman" w:cs="Times New Roman"/>
          <w:sz w:val="24"/>
          <w:szCs w:val="24"/>
        </w:rPr>
        <w:t>12,34% Financijskog plana za 2024.</w:t>
      </w:r>
    </w:p>
    <w:p w14:paraId="51B0884D" w14:textId="77777777" w:rsidR="00ED0665" w:rsidRDefault="00ED0665" w:rsidP="00D035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9347AC" w14:textId="77777777" w:rsidR="00AB53E6" w:rsidRPr="00657A7E" w:rsidRDefault="00AB53E6" w:rsidP="00D035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237880" w14:textId="77777777" w:rsidR="004E5B60" w:rsidRDefault="004E5B60" w:rsidP="00AB53E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0F9E255" w14:textId="77777777" w:rsidR="004E5B60" w:rsidRDefault="004E5B60" w:rsidP="00AB53E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03CB811" w14:textId="77777777" w:rsidR="004E5B60" w:rsidRDefault="004E5B60" w:rsidP="00AB53E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C87A8F0" w14:textId="6D6CC133" w:rsidR="00AB53E6" w:rsidRDefault="00AB53E6" w:rsidP="00AB53E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57A7E">
        <w:rPr>
          <w:rFonts w:ascii="Times New Roman" w:hAnsi="Times New Roman" w:cs="Times New Roman"/>
          <w:i/>
          <w:iCs/>
          <w:sz w:val="24"/>
          <w:szCs w:val="24"/>
        </w:rPr>
        <w:lastRenderedPageBreak/>
        <w:t>Izvještaj o zaduživanju na domaćem i stranom tržištu novca i kapitala</w:t>
      </w:r>
    </w:p>
    <w:p w14:paraId="66697ECF" w14:textId="77777777" w:rsidR="00D0357E" w:rsidRPr="00657A7E" w:rsidRDefault="00D0357E" w:rsidP="00AB53E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5CBFFD9" w14:textId="36EBB4AE" w:rsidR="00AB53E6" w:rsidRPr="00657A7E" w:rsidRDefault="009978B6" w:rsidP="00D035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Centar se</w:t>
      </w:r>
      <w:r w:rsidR="00AB53E6" w:rsidRPr="00657A7E">
        <w:rPr>
          <w:rFonts w:ascii="Times New Roman" w:hAnsi="Times New Roman" w:cs="Times New Roman"/>
          <w:sz w:val="24"/>
          <w:szCs w:val="24"/>
        </w:rPr>
        <w:t xml:space="preserve"> u izvještajnom razdoblju nij</w:t>
      </w:r>
      <w:r>
        <w:rPr>
          <w:rFonts w:ascii="Times New Roman" w:hAnsi="Times New Roman" w:cs="Times New Roman"/>
          <w:sz w:val="24"/>
          <w:szCs w:val="24"/>
        </w:rPr>
        <w:t>e</w:t>
      </w:r>
      <w:r w:rsidR="00AB53E6" w:rsidRPr="00657A7E">
        <w:rPr>
          <w:rFonts w:ascii="Times New Roman" w:hAnsi="Times New Roman" w:cs="Times New Roman"/>
          <w:sz w:val="24"/>
          <w:szCs w:val="24"/>
        </w:rPr>
        <w:t xml:space="preserve"> zaduživ</w:t>
      </w:r>
      <w:r>
        <w:rPr>
          <w:rFonts w:ascii="Times New Roman" w:hAnsi="Times New Roman" w:cs="Times New Roman"/>
          <w:sz w:val="24"/>
          <w:szCs w:val="24"/>
        </w:rPr>
        <w:t>ao</w:t>
      </w:r>
      <w:r w:rsidR="00AB53E6" w:rsidRPr="00657A7E">
        <w:rPr>
          <w:rFonts w:ascii="Times New Roman" w:hAnsi="Times New Roman" w:cs="Times New Roman"/>
          <w:sz w:val="24"/>
          <w:szCs w:val="24"/>
        </w:rPr>
        <w:t xml:space="preserve"> na domaćem i stranom tržištu novca i kapitala.</w:t>
      </w:r>
    </w:p>
    <w:p w14:paraId="047E8EDD" w14:textId="77777777" w:rsidR="00A37E36" w:rsidRPr="00657A7E" w:rsidRDefault="00A37E36" w:rsidP="00AB53E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34ACB1" w14:textId="77777777" w:rsidR="00AB53E6" w:rsidRPr="00657A7E" w:rsidRDefault="00AB53E6" w:rsidP="00AB53E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7E112A" w14:textId="77777777" w:rsidR="00AB53E6" w:rsidRDefault="00AB53E6" w:rsidP="00AB53E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9235E0" w14:textId="77777777" w:rsidR="0005165B" w:rsidRDefault="0005165B" w:rsidP="00AB53E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A6814E" w14:textId="77777777" w:rsidR="0005165B" w:rsidRDefault="0005165B" w:rsidP="00AB53E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BC60B6" w14:textId="77777777" w:rsidR="0005165B" w:rsidRPr="00657A7E" w:rsidRDefault="0005165B" w:rsidP="00AB53E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7943E2" w14:textId="0D45F770" w:rsidR="00AB53E6" w:rsidRDefault="00AB53E6" w:rsidP="00AB53E6">
      <w:pPr>
        <w:jc w:val="center"/>
        <w:rPr>
          <w:rFonts w:ascii="Times New Roman" w:hAnsi="Times New Roman" w:cs="Times New Roman"/>
          <w:sz w:val="24"/>
          <w:szCs w:val="24"/>
        </w:rPr>
      </w:pPr>
      <w:r w:rsidRPr="00657A7E">
        <w:rPr>
          <w:rFonts w:ascii="Times New Roman" w:hAnsi="Times New Roman" w:cs="Times New Roman"/>
          <w:sz w:val="24"/>
          <w:szCs w:val="24"/>
        </w:rPr>
        <w:t xml:space="preserve">                                             M.P.                                                      Ravnatelj:</w:t>
      </w:r>
    </w:p>
    <w:p w14:paraId="496FB3F8" w14:textId="77777777" w:rsidR="009978B6" w:rsidRPr="009978B6" w:rsidRDefault="009978B6" w:rsidP="00997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  <w:r w:rsidRPr="009978B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                                                                                                         </w:t>
      </w:r>
      <w:r w:rsidRPr="009978B6">
        <w:rPr>
          <w:rFonts w:ascii="Times New Roman" w:eastAsia="Times New Roman" w:hAnsi="Times New Roman" w:cs="Times New Roman"/>
          <w:sz w:val="24"/>
          <w:szCs w:val="24"/>
          <w:lang w:eastAsia="hr-HR"/>
        </w:rPr>
        <w:t>Maja Cepetić Rogić, dr.sc.</w:t>
      </w:r>
    </w:p>
    <w:p w14:paraId="71086D63" w14:textId="5032312B" w:rsidR="00AB53E6" w:rsidRPr="00657A7E" w:rsidRDefault="00657A7E" w:rsidP="009978B6">
      <w:pPr>
        <w:rPr>
          <w:rFonts w:ascii="Times New Roman" w:hAnsi="Times New Roman" w:cs="Times New Roman"/>
          <w:sz w:val="24"/>
          <w:szCs w:val="24"/>
        </w:rPr>
      </w:pPr>
      <w:r w:rsidRPr="00657A7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4A261" wp14:editId="24570618">
                <wp:simplePos x="0" y="0"/>
                <wp:positionH relativeFrom="margin">
                  <wp:posOffset>3806041</wp:posOffset>
                </wp:positionH>
                <wp:positionV relativeFrom="paragraph">
                  <wp:posOffset>237300</wp:posOffset>
                </wp:positionV>
                <wp:extent cx="1792761" cy="0"/>
                <wp:effectExtent l="0" t="0" r="0" b="0"/>
                <wp:wrapNone/>
                <wp:docPr id="1177741125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27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963E8" id="Ravni poveznik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9.7pt,18.7pt" to="440.8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sectPr w:rsidR="00AB53E6" w:rsidRPr="00657A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020EC"/>
    <w:multiLevelType w:val="hybridMultilevel"/>
    <w:tmpl w:val="1CF666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66801"/>
    <w:multiLevelType w:val="hybridMultilevel"/>
    <w:tmpl w:val="10A2706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840DF"/>
    <w:multiLevelType w:val="hybridMultilevel"/>
    <w:tmpl w:val="EC2C0200"/>
    <w:lvl w:ilvl="0" w:tplc="CEC87BAA">
      <w:start w:val="1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58905467">
    <w:abstractNumId w:val="0"/>
  </w:num>
  <w:num w:numId="2" w16cid:durableId="619800469">
    <w:abstractNumId w:val="1"/>
  </w:num>
  <w:num w:numId="3" w16cid:durableId="988898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AF"/>
    <w:rsid w:val="0005165B"/>
    <w:rsid w:val="00071B1D"/>
    <w:rsid w:val="00093BEF"/>
    <w:rsid w:val="000C0A32"/>
    <w:rsid w:val="000F16E6"/>
    <w:rsid w:val="00146D79"/>
    <w:rsid w:val="001473E4"/>
    <w:rsid w:val="00171372"/>
    <w:rsid w:val="00190776"/>
    <w:rsid w:val="001A7ECF"/>
    <w:rsid w:val="001C348A"/>
    <w:rsid w:val="00230F78"/>
    <w:rsid w:val="002B4A5E"/>
    <w:rsid w:val="002C57C0"/>
    <w:rsid w:val="002D6CA8"/>
    <w:rsid w:val="003369F9"/>
    <w:rsid w:val="00362C9C"/>
    <w:rsid w:val="00382920"/>
    <w:rsid w:val="003A5817"/>
    <w:rsid w:val="004126D7"/>
    <w:rsid w:val="0046117E"/>
    <w:rsid w:val="00472C87"/>
    <w:rsid w:val="00475A5F"/>
    <w:rsid w:val="004B2961"/>
    <w:rsid w:val="004B47B6"/>
    <w:rsid w:val="004E5B60"/>
    <w:rsid w:val="00505577"/>
    <w:rsid w:val="00543C7A"/>
    <w:rsid w:val="0055489B"/>
    <w:rsid w:val="00563992"/>
    <w:rsid w:val="005B08ED"/>
    <w:rsid w:val="005C0B58"/>
    <w:rsid w:val="00653F52"/>
    <w:rsid w:val="00657A7E"/>
    <w:rsid w:val="006649AF"/>
    <w:rsid w:val="006903A8"/>
    <w:rsid w:val="006B2C6B"/>
    <w:rsid w:val="006E2346"/>
    <w:rsid w:val="006E3B24"/>
    <w:rsid w:val="00740A68"/>
    <w:rsid w:val="00747CAB"/>
    <w:rsid w:val="00765CEA"/>
    <w:rsid w:val="007A7064"/>
    <w:rsid w:val="007B0B9D"/>
    <w:rsid w:val="008B164B"/>
    <w:rsid w:val="008B5952"/>
    <w:rsid w:val="008C7601"/>
    <w:rsid w:val="008E1313"/>
    <w:rsid w:val="00902DB2"/>
    <w:rsid w:val="00912F9A"/>
    <w:rsid w:val="00976EA0"/>
    <w:rsid w:val="00984778"/>
    <w:rsid w:val="00991181"/>
    <w:rsid w:val="009978B6"/>
    <w:rsid w:val="009D1017"/>
    <w:rsid w:val="009F5D7D"/>
    <w:rsid w:val="00A34082"/>
    <w:rsid w:val="00A37E36"/>
    <w:rsid w:val="00A66432"/>
    <w:rsid w:val="00A91364"/>
    <w:rsid w:val="00A92F2E"/>
    <w:rsid w:val="00AB53E6"/>
    <w:rsid w:val="00AC7463"/>
    <w:rsid w:val="00AD4756"/>
    <w:rsid w:val="00AE6CA9"/>
    <w:rsid w:val="00B07D8C"/>
    <w:rsid w:val="00B455A3"/>
    <w:rsid w:val="00C46242"/>
    <w:rsid w:val="00C759E2"/>
    <w:rsid w:val="00C8368F"/>
    <w:rsid w:val="00D0357E"/>
    <w:rsid w:val="00D4593F"/>
    <w:rsid w:val="00D63759"/>
    <w:rsid w:val="00DB1AA3"/>
    <w:rsid w:val="00DB3B6C"/>
    <w:rsid w:val="00DF3236"/>
    <w:rsid w:val="00DF6DC5"/>
    <w:rsid w:val="00E1082C"/>
    <w:rsid w:val="00E47D90"/>
    <w:rsid w:val="00E7785F"/>
    <w:rsid w:val="00E82666"/>
    <w:rsid w:val="00EA43BE"/>
    <w:rsid w:val="00EA63C1"/>
    <w:rsid w:val="00EB616C"/>
    <w:rsid w:val="00ED0665"/>
    <w:rsid w:val="00F15DE4"/>
    <w:rsid w:val="00F17D79"/>
    <w:rsid w:val="00F2724C"/>
    <w:rsid w:val="00F67031"/>
    <w:rsid w:val="00F771DA"/>
    <w:rsid w:val="00FC43E8"/>
    <w:rsid w:val="00FE0ED6"/>
    <w:rsid w:val="00FE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C089"/>
  <w15:chartTrackingRefBased/>
  <w15:docId w15:val="{33FBAC39-B344-4631-BA7E-4B60B83B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2346"/>
    <w:pPr>
      <w:ind w:left="720"/>
      <w:contextualSpacing/>
    </w:pPr>
  </w:style>
  <w:style w:type="paragraph" w:customStyle="1" w:styleId="box474667">
    <w:name w:val="box_474667"/>
    <w:basedOn w:val="Normal"/>
    <w:rsid w:val="0076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475A5F"/>
    <w:pPr>
      <w:spacing w:after="0" w:line="240" w:lineRule="auto"/>
    </w:pPr>
    <w:rPr>
      <w:rFonts w:ascii="Calibri" w:eastAsia="Calibri" w:hAnsi="Calibri" w:cs="Times New Roman"/>
    </w:rPr>
  </w:style>
  <w:style w:type="character" w:styleId="Naglaeno">
    <w:name w:val="Strong"/>
    <w:uiPriority w:val="22"/>
    <w:qFormat/>
    <w:rsid w:val="00475A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hr-HR" sz="1000" i="1">
                <a:latin typeface="Times New Roman" panose="02020603050405020304" pitchFamily="18" charset="0"/>
                <a:cs typeface="Times New Roman" panose="02020603050405020304" pitchFamily="18" charset="0"/>
              </a:rPr>
              <a:t>Sažetak</a:t>
            </a:r>
            <a:r>
              <a:rPr lang="hr-HR" sz="1000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prihoda i rashoda</a:t>
            </a:r>
            <a:endParaRPr lang="hr-HR" sz="1000" i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Izvršenje 2023.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List1!$A$2:$A$3</c:f>
              <c:strCache>
                <c:ptCount val="2"/>
                <c:pt idx="0">
                  <c:v>Prihodi</c:v>
                </c:pt>
                <c:pt idx="1">
                  <c:v>Rashodi</c:v>
                </c:pt>
              </c:strCache>
            </c:strRef>
          </c:cat>
          <c:val>
            <c:numRef>
              <c:f>List1!$B$2:$B$3</c:f>
              <c:numCache>
                <c:formatCode>#,##0.00</c:formatCode>
                <c:ptCount val="2"/>
                <c:pt idx="0">
                  <c:v>341233.83</c:v>
                </c:pt>
                <c:pt idx="1">
                  <c:v>350669.65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60-44A2-AC0C-447E6CAA2FF6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Izvorni plan 2024.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List1!$A$2:$A$3</c:f>
              <c:strCache>
                <c:ptCount val="2"/>
                <c:pt idx="0">
                  <c:v>Prihodi</c:v>
                </c:pt>
                <c:pt idx="1">
                  <c:v>Rashodi</c:v>
                </c:pt>
              </c:strCache>
            </c:strRef>
          </c:cat>
          <c:val>
            <c:numRef>
              <c:f>List1!$C$2:$C$3</c:f>
              <c:numCache>
                <c:formatCode>#,##0.00</c:formatCode>
                <c:ptCount val="2"/>
                <c:pt idx="0">
                  <c:v>719890</c:v>
                </c:pt>
                <c:pt idx="1">
                  <c:v>722890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60-44A2-AC0C-447E6CAA2FF6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Izvršenje 2024.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List1!$A$2:$A$3</c:f>
              <c:strCache>
                <c:ptCount val="2"/>
                <c:pt idx="0">
                  <c:v>Prihodi</c:v>
                </c:pt>
                <c:pt idx="1">
                  <c:v>Rashodi</c:v>
                </c:pt>
              </c:strCache>
            </c:strRef>
          </c:cat>
          <c:val>
            <c:numRef>
              <c:f>List1!$D$2:$D$3</c:f>
              <c:numCache>
                <c:formatCode>#,##0.00</c:formatCode>
                <c:ptCount val="2"/>
                <c:pt idx="0">
                  <c:v>91958.74</c:v>
                </c:pt>
                <c:pt idx="1">
                  <c:v>89231.91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B60-44A2-AC0C-447E6CAA2FF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64091688"/>
        <c:axId val="464085928"/>
      </c:barChart>
      <c:catAx>
        <c:axId val="464091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64085928"/>
        <c:crosses val="autoZero"/>
        <c:auto val="1"/>
        <c:lblAlgn val="ctr"/>
        <c:lblOffset val="100"/>
        <c:noMultiLvlLbl val="0"/>
      </c:catAx>
      <c:valAx>
        <c:axId val="464085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640916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hr-HR" sz="1000" i="1">
                <a:latin typeface="Times New Roman" panose="02020603050405020304" pitchFamily="18" charset="0"/>
                <a:cs typeface="Times New Roman" panose="02020603050405020304" pitchFamily="18" charset="0"/>
              </a:rPr>
              <a:t>Prihodi</a:t>
            </a:r>
            <a:r>
              <a:rPr lang="hr-HR" sz="1000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hr-HR" sz="1000" i="1">
                <a:latin typeface="Times New Roman" panose="02020603050405020304" pitchFamily="18" charset="0"/>
                <a:cs typeface="Times New Roman" panose="02020603050405020304" pitchFamily="18" charset="0"/>
              </a:rPr>
              <a:t>prema ekonomskoj klasifikaciji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sr-Latn-R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3016306791178023"/>
          <c:y val="0.12485818304969944"/>
          <c:w val="0.76581418350438646"/>
          <c:h val="0.5136858219662385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Izvršenje 2023.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List1!$A$2:$A$7</c:f>
              <c:strCache>
                <c:ptCount val="5"/>
                <c:pt idx="0">
                  <c:v>63 Pomoći od subjekata unutar proračuna</c:v>
                </c:pt>
                <c:pt idx="1">
                  <c:v>64 Prihodi od imovine</c:v>
                </c:pt>
                <c:pt idx="2">
                  <c:v>65 Prihodi po posebnim propisima</c:v>
                </c:pt>
                <c:pt idx="3">
                  <c:v>66 Prihodi od prodaje proizvoda i robe te pruženih usluga, prihodi od donacija</c:v>
                </c:pt>
                <c:pt idx="4">
                  <c:v>67 Prihodi iz nadležnog proračuna</c:v>
                </c:pt>
              </c:strCache>
            </c:strRef>
          </c:cat>
          <c:val>
            <c:numRef>
              <c:f>List1!$B$2:$B$7</c:f>
              <c:numCache>
                <c:formatCode>#,##0.00</c:formatCode>
                <c:ptCount val="6"/>
                <c:pt idx="0">
                  <c:v>253496.56</c:v>
                </c:pt>
                <c:pt idx="1">
                  <c:v>140</c:v>
                </c:pt>
                <c:pt idx="2">
                  <c:v>1433.5</c:v>
                </c:pt>
                <c:pt idx="3">
                  <c:v>3882.23</c:v>
                </c:pt>
                <c:pt idx="4">
                  <c:v>82281.52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B7-4D01-8EC0-3394DE39CD2D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Financijski plan za 2024.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List1!$A$2:$A$7</c:f>
              <c:strCache>
                <c:ptCount val="5"/>
                <c:pt idx="0">
                  <c:v>63 Pomoći od subjekata unutar proračuna</c:v>
                </c:pt>
                <c:pt idx="1">
                  <c:v>64 Prihodi od imovine</c:v>
                </c:pt>
                <c:pt idx="2">
                  <c:v>65 Prihodi po posebnim propisima</c:v>
                </c:pt>
                <c:pt idx="3">
                  <c:v>66 Prihodi od prodaje proizvoda i robe te pruženih usluga, prihodi od donacija</c:v>
                </c:pt>
                <c:pt idx="4">
                  <c:v>67 Prihodi iz nadležnog proračuna</c:v>
                </c:pt>
              </c:strCache>
            </c:strRef>
          </c:cat>
          <c:val>
            <c:numRef>
              <c:f>List1!$C$2:$C$7</c:f>
              <c:numCache>
                <c:formatCode>#,##0.00</c:formatCode>
                <c:ptCount val="6"/>
                <c:pt idx="0">
                  <c:v>516700</c:v>
                </c:pt>
                <c:pt idx="1">
                  <c:v>500</c:v>
                </c:pt>
                <c:pt idx="2">
                  <c:v>3500</c:v>
                </c:pt>
                <c:pt idx="3">
                  <c:v>3290</c:v>
                </c:pt>
                <c:pt idx="4">
                  <c:v>195900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1B7-4D01-8EC0-3394DE39CD2D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Izvršenje 2024.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List1!$A$2:$A$7</c:f>
              <c:strCache>
                <c:ptCount val="5"/>
                <c:pt idx="0">
                  <c:v>63 Pomoći od subjekata unutar proračuna</c:v>
                </c:pt>
                <c:pt idx="1">
                  <c:v>64 Prihodi od imovine</c:v>
                </c:pt>
                <c:pt idx="2">
                  <c:v>65 Prihodi po posebnim propisima</c:v>
                </c:pt>
                <c:pt idx="3">
                  <c:v>66 Prihodi od prodaje proizvoda i robe te pruženih usluga, prihodi od donacija</c:v>
                </c:pt>
                <c:pt idx="4">
                  <c:v>67 Prihodi iz nadležnog proračuna</c:v>
                </c:pt>
              </c:strCache>
            </c:strRef>
          </c:cat>
          <c:val>
            <c:numRef>
              <c:f>List1!$D$2:$D$7</c:f>
              <c:numCache>
                <c:formatCode>#,##0.00</c:formatCode>
                <c:ptCount val="6"/>
                <c:pt idx="0">
                  <c:v>5300</c:v>
                </c:pt>
                <c:pt idx="1">
                  <c:v>420</c:v>
                </c:pt>
                <c:pt idx="2">
                  <c:v>2740.03</c:v>
                </c:pt>
                <c:pt idx="3">
                  <c:v>856</c:v>
                </c:pt>
                <c:pt idx="4">
                  <c:v>82642.710000000006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1B7-4D01-8EC0-3394DE39CD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6292056"/>
        <c:axId val="206292416"/>
        <c:axId val="0"/>
      </c:bar3DChart>
      <c:catAx>
        <c:axId val="206292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06292416"/>
        <c:crosses val="autoZero"/>
        <c:auto val="1"/>
        <c:lblAlgn val="ctr"/>
        <c:lblOffset val="100"/>
        <c:noMultiLvlLbl val="0"/>
      </c:catAx>
      <c:valAx>
        <c:axId val="206292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062920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i="1"/>
              <a:t>Rashodi</a:t>
            </a:r>
            <a:r>
              <a:rPr lang="hr-HR" i="1" baseline="0"/>
              <a:t> prema ekonomskoj klasifikaciji</a:t>
            </a:r>
            <a:endParaRPr lang="hr-HR" i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0.27499583073834089"/>
          <c:y val="0.15269625643039003"/>
          <c:w val="0.76018572915785088"/>
          <c:h val="0.369735345581802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Izvršenje 2023.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List1!$A$2:$A$6</c:f>
              <c:strCache>
                <c:ptCount val="5"/>
                <c:pt idx="0">
                  <c:v>31 Rashodi za zaposlene</c:v>
                </c:pt>
                <c:pt idx="1">
                  <c:v>32 Materijalni rashodi</c:v>
                </c:pt>
                <c:pt idx="2">
                  <c:v>34 Financijski rashodi</c:v>
                </c:pt>
                <c:pt idx="3">
                  <c:v>42 Rashodi za nabavu proizvedene dugotrajne imovine</c:v>
                </c:pt>
                <c:pt idx="4">
                  <c:v>45 Rashodi za dodatna ulaganja na nefinancijskoj imovini</c:v>
                </c:pt>
              </c:strCache>
            </c:strRef>
          </c:cat>
          <c:val>
            <c:numRef>
              <c:f>List1!$B$2:$B$6</c:f>
              <c:numCache>
                <c:formatCode>#,##0.00</c:formatCode>
                <c:ptCount val="5"/>
                <c:pt idx="0">
                  <c:v>42942.559999999998</c:v>
                </c:pt>
                <c:pt idx="1">
                  <c:v>31840.560000000001</c:v>
                </c:pt>
                <c:pt idx="2" formatCode="General">
                  <c:v>227.38</c:v>
                </c:pt>
                <c:pt idx="3">
                  <c:v>10728.94</c:v>
                </c:pt>
                <c:pt idx="4">
                  <c:v>264930.21000000002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0F-4749-8BB9-FC768EDABB4E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Financijski plan za 2024.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List1!$A$2:$A$6</c:f>
              <c:strCache>
                <c:ptCount val="5"/>
                <c:pt idx="0">
                  <c:v>31 Rashodi za zaposlene</c:v>
                </c:pt>
                <c:pt idx="1">
                  <c:v>32 Materijalni rashodi</c:v>
                </c:pt>
                <c:pt idx="2">
                  <c:v>34 Financijski rashodi</c:v>
                </c:pt>
                <c:pt idx="3">
                  <c:v>42 Rashodi za nabavu proizvedene dugotrajne imovine</c:v>
                </c:pt>
                <c:pt idx="4">
                  <c:v>45 Rashodi za dodatna ulaganja na nefinancijskoj imovini</c:v>
                </c:pt>
              </c:strCache>
            </c:strRef>
          </c:cat>
          <c:val>
            <c:numRef>
              <c:f>List1!$C$2:$C$6</c:f>
              <c:numCache>
                <c:formatCode>#,##0.00</c:formatCode>
                <c:ptCount val="5"/>
                <c:pt idx="0">
                  <c:v>113000</c:v>
                </c:pt>
                <c:pt idx="1">
                  <c:v>84990</c:v>
                </c:pt>
                <c:pt idx="2" formatCode="General">
                  <c:v>500</c:v>
                </c:pt>
                <c:pt idx="3">
                  <c:v>13400</c:v>
                </c:pt>
                <c:pt idx="4">
                  <c:v>511000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0F-4749-8BB9-FC768EDABB4E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Izvršenje 2024.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List1!$A$2:$A$6</c:f>
              <c:strCache>
                <c:ptCount val="5"/>
                <c:pt idx="0">
                  <c:v>31 Rashodi za zaposlene</c:v>
                </c:pt>
                <c:pt idx="1">
                  <c:v>32 Materijalni rashodi</c:v>
                </c:pt>
                <c:pt idx="2">
                  <c:v>34 Financijski rashodi</c:v>
                </c:pt>
                <c:pt idx="3">
                  <c:v>42 Rashodi za nabavu proizvedene dugotrajne imovine</c:v>
                </c:pt>
                <c:pt idx="4">
                  <c:v>45 Rashodi za dodatna ulaganja na nefinancijskoj imovini</c:v>
                </c:pt>
              </c:strCache>
            </c:strRef>
          </c:cat>
          <c:val>
            <c:numRef>
              <c:f>List1!$D$2:$D$6</c:f>
              <c:numCache>
                <c:formatCode>#,##0.00</c:formatCode>
                <c:ptCount val="5"/>
                <c:pt idx="0">
                  <c:v>52139.76</c:v>
                </c:pt>
                <c:pt idx="1">
                  <c:v>33521.06</c:v>
                </c:pt>
                <c:pt idx="2" formatCode="General">
                  <c:v>248.32</c:v>
                </c:pt>
                <c:pt idx="3">
                  <c:v>3322.77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A0F-4749-8BB9-FC768EDABB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59195792"/>
        <c:axId val="459196152"/>
      </c:barChart>
      <c:catAx>
        <c:axId val="459195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9196152"/>
        <c:crosses val="autoZero"/>
        <c:auto val="1"/>
        <c:lblAlgn val="ctr"/>
        <c:lblOffset val="100"/>
        <c:noMultiLvlLbl val="0"/>
      </c:catAx>
      <c:valAx>
        <c:axId val="459196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91957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hr-HR" sz="1000" i="1">
                <a:latin typeface="Times New Roman" panose="02020603050405020304" pitchFamily="18" charset="0"/>
                <a:cs typeface="Times New Roman" panose="02020603050405020304" pitchFamily="18" charset="0"/>
              </a:rPr>
              <a:t>Prihodi prema izvoru</a:t>
            </a:r>
            <a:r>
              <a:rPr lang="hr-HR" sz="1000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financiranja</a:t>
            </a:r>
            <a:endParaRPr lang="hr-HR" sz="1000" i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34461438333875688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Izvršenje 2023.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List1!$A$2:$A$6</c:f>
              <c:strCache>
                <c:ptCount val="5"/>
                <c:pt idx="0">
                  <c:v>1.1 Opći prihodi i primici</c:v>
                </c:pt>
                <c:pt idx="1">
                  <c:v>3.5 Vlastiti prihodi</c:v>
                </c:pt>
                <c:pt idx="2">
                  <c:v>5.1 Pomoći</c:v>
                </c:pt>
                <c:pt idx="3">
                  <c:v>5.2 Pomoći EU</c:v>
                </c:pt>
                <c:pt idx="4">
                  <c:v>6.1 Donacije</c:v>
                </c:pt>
              </c:strCache>
            </c:strRef>
          </c:cat>
          <c:val>
            <c:numRef>
              <c:f>List1!$B$2:$B$6</c:f>
              <c:numCache>
                <c:formatCode>#,##0.00</c:formatCode>
                <c:ptCount val="5"/>
                <c:pt idx="0">
                  <c:v>82281.52</c:v>
                </c:pt>
                <c:pt idx="1">
                  <c:v>1779.5</c:v>
                </c:pt>
                <c:pt idx="2">
                  <c:v>5048.04</c:v>
                </c:pt>
                <c:pt idx="3">
                  <c:v>248448.54</c:v>
                </c:pt>
                <c:pt idx="4">
                  <c:v>3676.23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43-4B03-8BD6-2BDF804533EF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Financijski plan za 2024.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List1!$A$2:$A$6</c:f>
              <c:strCache>
                <c:ptCount val="5"/>
                <c:pt idx="0">
                  <c:v>1.1 Opći prihodi i primici</c:v>
                </c:pt>
                <c:pt idx="1">
                  <c:v>3.5 Vlastiti prihodi</c:v>
                </c:pt>
                <c:pt idx="2">
                  <c:v>5.1 Pomoći</c:v>
                </c:pt>
                <c:pt idx="3">
                  <c:v>5.2 Pomoći EU</c:v>
                </c:pt>
                <c:pt idx="4">
                  <c:v>6.1 Donacije</c:v>
                </c:pt>
              </c:strCache>
            </c:strRef>
          </c:cat>
          <c:val>
            <c:numRef>
              <c:f>List1!$C$2:$C$6</c:f>
              <c:numCache>
                <c:formatCode>#,##0.00</c:formatCode>
                <c:ptCount val="5"/>
                <c:pt idx="0">
                  <c:v>195900</c:v>
                </c:pt>
                <c:pt idx="1">
                  <c:v>4290</c:v>
                </c:pt>
                <c:pt idx="2">
                  <c:v>16700</c:v>
                </c:pt>
                <c:pt idx="3">
                  <c:v>500000</c:v>
                </c:pt>
                <c:pt idx="4">
                  <c:v>3000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43-4B03-8BD6-2BDF804533EF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Izvršenje 2024.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List1!$A$2:$A$6</c:f>
              <c:strCache>
                <c:ptCount val="5"/>
                <c:pt idx="0">
                  <c:v>1.1 Opći prihodi i primici</c:v>
                </c:pt>
                <c:pt idx="1">
                  <c:v>3.5 Vlastiti prihodi</c:v>
                </c:pt>
                <c:pt idx="2">
                  <c:v>5.1 Pomoći</c:v>
                </c:pt>
                <c:pt idx="3">
                  <c:v>5.2 Pomoći EU</c:v>
                </c:pt>
                <c:pt idx="4">
                  <c:v>6.1 Donacije</c:v>
                </c:pt>
              </c:strCache>
            </c:strRef>
          </c:cat>
          <c:val>
            <c:numRef>
              <c:f>List1!$D$2:$D$6</c:f>
              <c:numCache>
                <c:formatCode>#,##0.00</c:formatCode>
                <c:ptCount val="5"/>
                <c:pt idx="0">
                  <c:v>82642.710000000006</c:v>
                </c:pt>
                <c:pt idx="1">
                  <c:v>3425.03</c:v>
                </c:pt>
                <c:pt idx="2">
                  <c:v>5300</c:v>
                </c:pt>
                <c:pt idx="3">
                  <c:v>0</c:v>
                </c:pt>
                <c:pt idx="4">
                  <c:v>591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643-4B03-8BD6-2BDF804533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4299624"/>
        <c:axId val="474299984"/>
      </c:barChart>
      <c:catAx>
        <c:axId val="474299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4299984"/>
        <c:crosses val="autoZero"/>
        <c:auto val="1"/>
        <c:lblAlgn val="ctr"/>
        <c:lblOffset val="100"/>
        <c:noMultiLvlLbl val="0"/>
      </c:catAx>
      <c:valAx>
        <c:axId val="474299984"/>
        <c:scaling>
          <c:orientation val="minMax"/>
          <c:max val="5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42996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sz="1000" i="1">
                <a:latin typeface="Times New Roman" panose="02020603050405020304" pitchFamily="18" charset="0"/>
                <a:cs typeface="Times New Roman" panose="02020603050405020304" pitchFamily="18" charset="0"/>
              </a:rPr>
              <a:t>Rashodi prema izvorima</a:t>
            </a:r>
            <a:r>
              <a:rPr lang="hr-HR" sz="1000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financiranja</a:t>
            </a:r>
            <a:endParaRPr lang="hr-HR" sz="1000" i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Izvršenje 2023.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1.1 Opći prihodi i primici</c:v>
                </c:pt>
                <c:pt idx="1">
                  <c:v>3.5 Vlastiti prihodi</c:v>
                </c:pt>
                <c:pt idx="2">
                  <c:v>5.1 Pomoći</c:v>
                </c:pt>
                <c:pt idx="3">
                  <c:v>5.2 Pomoći EU</c:v>
                </c:pt>
                <c:pt idx="4">
                  <c:v>6.1 Donacije</c:v>
                </c:pt>
              </c:strCache>
            </c:strRef>
          </c:cat>
          <c:val>
            <c:numRef>
              <c:f>List1!$B$2:$B$6</c:f>
              <c:numCache>
                <c:formatCode>#,##0.00</c:formatCode>
                <c:ptCount val="5"/>
                <c:pt idx="0">
                  <c:v>81050.91</c:v>
                </c:pt>
                <c:pt idx="1">
                  <c:v>1103.1600000000001</c:v>
                </c:pt>
                <c:pt idx="2">
                  <c:v>8958.33</c:v>
                </c:pt>
                <c:pt idx="3">
                  <c:v>248448.54</c:v>
                </c:pt>
                <c:pt idx="4">
                  <c:v>11108.71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B0-46E3-AF5C-8E0920ED4E7F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Financijski plan za 2024.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1.1 Opći prihodi i primici</c:v>
                </c:pt>
                <c:pt idx="1">
                  <c:v>3.5 Vlastiti prihodi</c:v>
                </c:pt>
                <c:pt idx="2">
                  <c:v>5.1 Pomoći</c:v>
                </c:pt>
                <c:pt idx="3">
                  <c:v>5.2 Pomoći EU</c:v>
                </c:pt>
                <c:pt idx="4">
                  <c:v>6.1 Donacije</c:v>
                </c:pt>
              </c:strCache>
            </c:strRef>
          </c:cat>
          <c:val>
            <c:numRef>
              <c:f>List1!$C$2:$C$6</c:f>
              <c:numCache>
                <c:formatCode>#,##0.00</c:formatCode>
                <c:ptCount val="5"/>
                <c:pt idx="0">
                  <c:v>195900</c:v>
                </c:pt>
                <c:pt idx="1">
                  <c:v>4290</c:v>
                </c:pt>
                <c:pt idx="2">
                  <c:v>16700</c:v>
                </c:pt>
                <c:pt idx="3">
                  <c:v>500000</c:v>
                </c:pt>
                <c:pt idx="4">
                  <c:v>6000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B0-46E3-AF5C-8E0920ED4E7F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Izvršenje 2024.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1.1 Opći prihodi i primici</c:v>
                </c:pt>
                <c:pt idx="1">
                  <c:v>3.5 Vlastiti prihodi</c:v>
                </c:pt>
                <c:pt idx="2">
                  <c:v>5.1 Pomoći</c:v>
                </c:pt>
                <c:pt idx="3">
                  <c:v>5.2 Pomoći EU</c:v>
                </c:pt>
                <c:pt idx="4">
                  <c:v>6.1 Donacije</c:v>
                </c:pt>
              </c:strCache>
            </c:strRef>
          </c:cat>
          <c:val>
            <c:numRef>
              <c:f>List1!$D$2:$D$6</c:f>
              <c:numCache>
                <c:formatCode>#,##0.00</c:formatCode>
                <c:ptCount val="5"/>
                <c:pt idx="0">
                  <c:v>82005.27</c:v>
                </c:pt>
                <c:pt idx="1">
                  <c:v>3035.64</c:v>
                </c:pt>
                <c:pt idx="2">
                  <c:v>3600</c:v>
                </c:pt>
                <c:pt idx="3">
                  <c:v>0</c:v>
                </c:pt>
                <c:pt idx="4">
                  <c:v>591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EB0-46E3-AF5C-8E0920ED4E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6292056"/>
        <c:axId val="206292416"/>
        <c:axId val="0"/>
      </c:bar3DChart>
      <c:catAx>
        <c:axId val="206292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06292416"/>
        <c:crosses val="autoZero"/>
        <c:auto val="1"/>
        <c:lblAlgn val="ctr"/>
        <c:lblOffset val="100"/>
        <c:noMultiLvlLbl val="0"/>
      </c:catAx>
      <c:valAx>
        <c:axId val="206292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06292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14FA6-8EEA-4A5F-A9D5-7C78E700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7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ivanaa.vincekovic@gmail.com</dc:creator>
  <cp:keywords/>
  <dc:description/>
  <cp:lastModifiedBy>Maja Cepetić Rogić</cp:lastModifiedBy>
  <cp:revision>19</cp:revision>
  <cp:lastPrinted>2023-07-31T10:11:00Z</cp:lastPrinted>
  <dcterms:created xsi:type="dcterms:W3CDTF">2023-07-28T10:30:00Z</dcterms:created>
  <dcterms:modified xsi:type="dcterms:W3CDTF">2024-07-30T12:28:00Z</dcterms:modified>
</cp:coreProperties>
</file>